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714BF">
      <w:pPr>
        <w:rPr>
          <w:rFonts w:ascii="Times New Roman" w:hAnsi="Times New Roman" w:cs="Times New Roman"/>
          <w:b/>
          <w:bCs/>
          <w:sz w:val="22"/>
        </w:rPr>
      </w:pPr>
      <w:r>
        <w:rPr>
          <w:rFonts w:ascii="Times New Roman" w:hAnsi="Times New Roman" w:cs="Times New Roman"/>
          <w:b/>
          <w:bCs/>
          <w:sz w:val="22"/>
        </w:rPr>
        <w:t>3GPP TSG-RAN WG2 Meeting #132</w:t>
      </w:r>
      <w:r>
        <w:rPr>
          <w:rFonts w:ascii="Times New Roman" w:hAnsi="Times New Roman" w:cs="Times New Roman"/>
          <w:b/>
          <w:bCs/>
          <w:sz w:val="22"/>
        </w:rPr>
        <w:tab/>
      </w:r>
      <w:r>
        <w:rPr>
          <w:rFonts w:ascii="Times New Roman" w:hAnsi="Times New Roman" w:cs="Times New Roman"/>
          <w:b/>
          <w:bCs/>
          <w:sz w:val="22"/>
        </w:rPr>
        <w:tab/>
      </w:r>
      <w:r>
        <w:rPr>
          <w:rFonts w:hint="eastAsia" w:ascii="Times New Roman" w:hAnsi="Times New Roman" w:cs="Times New Roman"/>
          <w:b/>
          <w:bCs/>
          <w:sz w:val="22"/>
        </w:rPr>
        <w:t xml:space="preserve">                                    R2-2508963</w:t>
      </w:r>
    </w:p>
    <w:p w14:paraId="19AF0DB7">
      <w:pPr>
        <w:rPr>
          <w:rFonts w:ascii="Times New Roman" w:hAnsi="Times New Roman" w:cs="Times New Roman"/>
          <w:b/>
          <w:bCs/>
          <w:sz w:val="22"/>
        </w:rPr>
      </w:pPr>
      <w:r>
        <w:rPr>
          <w:rFonts w:ascii="Times New Roman" w:hAnsi="Times New Roman" w:cs="Times New Roman"/>
          <w:b/>
          <w:bCs/>
          <w:sz w:val="22"/>
        </w:rPr>
        <w:t>Dallas, USA,  Nov. 17th - 21st</w:t>
      </w:r>
    </w:p>
    <w:p w14:paraId="0050FAD7">
      <w:pPr>
        <w:rPr>
          <w:rFonts w:ascii="Times New Roman" w:hAnsi="Times New Roman" w:cs="Times New Roman"/>
          <w:b/>
          <w:bCs/>
          <w:sz w:val="22"/>
        </w:rPr>
      </w:pPr>
    </w:p>
    <w:p w14:paraId="66B8178B">
      <w:pPr>
        <w:ind w:left="1984" w:hanging="1984"/>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4CDFDA1B">
      <w:pPr>
        <w:ind w:left="1984" w:hanging="1984"/>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rPr>
        <w:t xml:space="preserve">Discussion on </w:t>
      </w:r>
      <w:r>
        <w:rPr>
          <w:rFonts w:ascii="Times New Roman" w:hAnsi="Times New Roman" w:cs="Times New Roman"/>
          <w:b/>
          <w:sz w:val="24"/>
          <w:szCs w:val="24"/>
        </w:rPr>
        <w:t>UE capability framework</w:t>
      </w:r>
    </w:p>
    <w:p w14:paraId="000A571B">
      <w:pPr>
        <w:ind w:left="1984" w:hanging="1984"/>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10</w:t>
      </w:r>
      <w:r>
        <w:rPr>
          <w:rFonts w:ascii="Times New Roman" w:hAnsi="Times New Roman" w:cs="Times New Roman"/>
          <w:b/>
          <w:sz w:val="24"/>
          <w:szCs w:val="24"/>
        </w:rPr>
        <w:t>.</w:t>
      </w:r>
      <w:r>
        <w:rPr>
          <w:rFonts w:hint="eastAsia" w:ascii="Times New Roman" w:hAnsi="Times New Roman" w:cs="Times New Roman"/>
          <w:b/>
          <w:sz w:val="24"/>
          <w:szCs w:val="24"/>
        </w:rPr>
        <w:t>2.1</w:t>
      </w:r>
    </w:p>
    <w:p w14:paraId="3BAEA0BF">
      <w:pPr>
        <w:ind w:left="1984" w:hanging="1984"/>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4095792C">
      <w:pPr>
        <w:pStyle w:val="2"/>
        <w:keepLines/>
        <w:numPr>
          <w:ilvl w:val="0"/>
          <w:numId w:val="3"/>
        </w:numPr>
        <w:pBdr>
          <w:top w:val="single" w:color="auto" w:sz="12" w:space="3"/>
        </w:pBdr>
        <w:tabs>
          <w:tab w:val="left" w:pos="420"/>
          <w:tab w:val="left" w:pos="63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szCs w:val="28"/>
          <w:lang w:val="en-US" w:eastAsia="zh-CN"/>
        </w:rPr>
        <w:t xml:space="preserve"> </w:t>
      </w:r>
      <w:r>
        <w:rPr>
          <w:rFonts w:ascii="Times New Roman" w:hAnsi="Times New Roman"/>
          <w:szCs w:val="28"/>
        </w:rPr>
        <w:t>Introduction</w:t>
      </w:r>
    </w:p>
    <w:p w14:paraId="4027C823">
      <w:pPr>
        <w:spacing w:before="120" w:beforeLines="50" w:after="120" w:afterLines="50"/>
        <w:rPr>
          <w:rFonts w:ascii="Times New Roman" w:hAnsi="Times New Roman" w:cs="Times New Roman"/>
        </w:rPr>
      </w:pPr>
      <w:bookmarkStart w:id="0" w:name="_Toc54284460"/>
      <w:r>
        <w:rPr>
          <w:rFonts w:ascii="Times New Roman" w:hAnsi="Times New Roman" w:cs="Times New Roman"/>
        </w:rPr>
        <w:t>At the 3GPP RAN</w:t>
      </w:r>
      <w:r>
        <w:rPr>
          <w:rFonts w:hint="eastAsia" w:ascii="Times New Roman" w:hAnsi="Times New Roman" w:cs="Times New Roman"/>
        </w:rPr>
        <w:t>2</w:t>
      </w:r>
      <w:r>
        <w:rPr>
          <w:rFonts w:ascii="Times New Roman" w:hAnsi="Times New Roman" w:cs="Times New Roman"/>
        </w:rPr>
        <w:t xml:space="preserve"> #1</w:t>
      </w:r>
      <w:r>
        <w:rPr>
          <w:rFonts w:hint="eastAsia" w:ascii="Times New Roman" w:hAnsi="Times New Roman" w:cs="Times New Roman"/>
        </w:rPr>
        <w:t>31bis meeting, the fo</w:t>
      </w:r>
      <w:bookmarkStart w:id="1" w:name="_GoBack"/>
      <w:bookmarkEnd w:id="1"/>
      <w:r>
        <w:rPr>
          <w:rFonts w:hint="eastAsia" w:ascii="Times New Roman" w:hAnsi="Times New Roman" w:cs="Times New Roman"/>
        </w:rPr>
        <w:t>llowing agreements have been reached for UE capability in 6GR.</w:t>
      </w:r>
    </w:p>
    <w:p w14:paraId="3BB46332">
      <w:pPr>
        <w:pStyle w:val="58"/>
        <w:widowControl/>
        <w:pBdr>
          <w:top w:val="single" w:color="auto" w:sz="4" w:space="1"/>
          <w:left w:val="single" w:color="auto" w:sz="4" w:space="4"/>
          <w:bottom w:val="single" w:color="auto" w:sz="4" w:space="1"/>
          <w:right w:val="single" w:color="auto" w:sz="4" w:space="4"/>
        </w:pBdr>
        <w:tabs>
          <w:tab w:val="left" w:pos="420"/>
          <w:tab w:val="clear" w:pos="1619"/>
        </w:tabs>
        <w:ind w:left="420"/>
        <w:jc w:val="left"/>
        <w:rPr>
          <w:rFonts w:ascii="Times New Roman" w:hAnsi="Times New Roman" w:eastAsia="MS Mincho" w:cs="Times New Roman"/>
          <w:b w:val="0"/>
          <w:bCs/>
          <w:kern w:val="0"/>
          <w:sz w:val="20"/>
          <w:szCs w:val="24"/>
          <w:lang w:val="en-GB" w:eastAsia="en-GB"/>
        </w:rPr>
      </w:pPr>
      <w:r>
        <w:rPr>
          <w:rFonts w:ascii="Times New Roman" w:hAnsi="Times New Roman" w:eastAsia="MS Mincho" w:cs="Times New Roman"/>
          <w:b w:val="0"/>
          <w:bCs/>
          <w:kern w:val="0"/>
          <w:sz w:val="20"/>
          <w:szCs w:val="24"/>
          <w:lang w:val="en-GB" w:eastAsia="en-GB"/>
        </w:rPr>
        <w:t xml:space="preserve">For next meeting companies should focus on identifying the critical problems with UE capability framework and how to address them.  Identify what actions to be triggered with other WGs.   </w:t>
      </w:r>
    </w:p>
    <w:p w14:paraId="5C8AACE0">
      <w:pPr>
        <w:pStyle w:val="58"/>
        <w:widowControl/>
        <w:pBdr>
          <w:top w:val="single" w:color="auto" w:sz="4" w:space="1"/>
          <w:left w:val="single" w:color="auto" w:sz="4" w:space="4"/>
          <w:bottom w:val="single" w:color="auto" w:sz="4" w:space="1"/>
          <w:right w:val="single" w:color="auto" w:sz="4" w:space="4"/>
        </w:pBdr>
        <w:tabs>
          <w:tab w:val="left" w:pos="420"/>
          <w:tab w:val="clear" w:pos="1619"/>
        </w:tabs>
        <w:ind w:left="420"/>
        <w:jc w:val="left"/>
        <w:rPr>
          <w:rFonts w:ascii="Times New Roman" w:hAnsi="Times New Roman" w:eastAsia="MS Mincho" w:cs="Times New Roman"/>
          <w:b w:val="0"/>
          <w:bCs/>
          <w:kern w:val="0"/>
          <w:sz w:val="20"/>
          <w:szCs w:val="24"/>
          <w:lang w:val="en-GB" w:eastAsia="en-GB"/>
        </w:rPr>
      </w:pPr>
      <w:r>
        <w:rPr>
          <w:rFonts w:ascii="Times New Roman" w:hAnsi="Times New Roman" w:eastAsia="MS Mincho" w:cs="Times New Roman"/>
          <w:b w:val="0"/>
          <w:bCs/>
          <w:kern w:val="0"/>
          <w:sz w:val="20"/>
          <w:szCs w:val="24"/>
          <w:lang w:val="en-GB" w:eastAsia="en-GB"/>
        </w:rPr>
        <w:t xml:space="preserve">Companies can identify use cases to justify dynamic capability change in connected mode and analyse impacts to network side and network behaviour upon reception of updated capabilities.   Understand if there is impact to other WGs.  </w:t>
      </w:r>
    </w:p>
    <w:p w14:paraId="1606489C">
      <w:pPr>
        <w:pStyle w:val="58"/>
        <w:widowControl/>
        <w:pBdr>
          <w:top w:val="single" w:color="auto" w:sz="4" w:space="1"/>
          <w:left w:val="single" w:color="auto" w:sz="4" w:space="4"/>
          <w:bottom w:val="single" w:color="auto" w:sz="4" w:space="1"/>
          <w:right w:val="single" w:color="auto" w:sz="4" w:space="4"/>
        </w:pBdr>
        <w:tabs>
          <w:tab w:val="left" w:pos="420"/>
          <w:tab w:val="clear" w:pos="1619"/>
        </w:tabs>
        <w:ind w:left="420"/>
        <w:jc w:val="left"/>
        <w:rPr>
          <w:rFonts w:ascii="Times New Roman" w:hAnsi="Times New Roman" w:cs="Times New Roman"/>
          <w:b w:val="0"/>
          <w:bCs/>
        </w:rPr>
      </w:pPr>
      <w:r>
        <w:rPr>
          <w:rFonts w:ascii="Times New Roman" w:hAnsi="Times New Roman" w:eastAsia="MS Mincho" w:cs="Times New Roman"/>
          <w:b w:val="0"/>
          <w:bCs/>
          <w:kern w:val="0"/>
          <w:sz w:val="20"/>
          <w:szCs w:val="24"/>
          <w:lang w:val="en-GB" w:eastAsia="en-GB"/>
        </w:rPr>
        <w:t>Companies can focus on the practical IODT problems in the field.   Possible ways to address them.</w:t>
      </w:r>
      <w:r>
        <w:rPr>
          <w:rFonts w:ascii="Arial" w:hAnsi="Arial" w:eastAsia="MS Mincho" w:cs="Times New Roman"/>
          <w:b w:val="0"/>
          <w:bCs/>
          <w:kern w:val="0"/>
          <w:sz w:val="20"/>
          <w:szCs w:val="24"/>
          <w:lang w:val="en-GB" w:eastAsia="en-GB"/>
        </w:rPr>
        <w:t xml:space="preserve">  </w:t>
      </w:r>
    </w:p>
    <w:p w14:paraId="21B9930D">
      <w:pPr>
        <w:spacing w:before="120" w:beforeLines="50" w:after="120" w:afterLines="50"/>
        <w:rPr>
          <w:rFonts w:ascii="Times New Roman" w:hAnsi="Times New Roman" w:cs="Times New Roman"/>
        </w:rPr>
      </w:pPr>
      <w:r>
        <w:rPr>
          <w:rFonts w:hint="eastAsia" w:ascii="Times New Roman" w:hAnsi="Times New Roman" w:cs="Times New Roman"/>
        </w:rPr>
        <w:t>This contribution focuses on the UE capability framework for 6G NR (6GR), addressing two key aspects: (1) a structured, multi-level UE capability model, and (2) support for dynamic UE capability change during RRC Connected mode.</w:t>
      </w:r>
    </w:p>
    <w:bookmarkEnd w:id="0"/>
    <w:p w14:paraId="4E3EA5F4">
      <w:pPr>
        <w:pStyle w:val="2"/>
        <w:keepLines/>
        <w:numPr>
          <w:ilvl w:val="0"/>
          <w:numId w:val="3"/>
        </w:numPr>
        <w:pBdr>
          <w:top w:val="single" w:color="auto" w:sz="12" w:space="3"/>
        </w:pBdr>
        <w:tabs>
          <w:tab w:val="left" w:pos="42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Discussion</w:t>
      </w:r>
    </w:p>
    <w:p w14:paraId="189FA960">
      <w:pPr>
        <w:pStyle w:val="3"/>
        <w:numPr>
          <w:ilvl w:val="1"/>
          <w:numId w:val="4"/>
        </w:numPr>
        <w:tabs>
          <w:tab w:val="left" w:pos="420"/>
          <w:tab w:val="clear" w:pos="756"/>
        </w:tabs>
        <w:spacing w:before="180" w:after="120" w:line="240" w:lineRule="auto"/>
        <w:ind w:left="424" w:hanging="424"/>
        <w:rPr>
          <w:rFonts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UE capability framework</w:t>
      </w:r>
    </w:p>
    <w:p w14:paraId="2E5BAFE3">
      <w:pPr>
        <w:numPr>
          <w:ilvl w:val="0"/>
          <w:numId w:val="5"/>
        </w:numPr>
        <w:spacing w:before="120" w:beforeLines="50" w:after="120" w:afterLines="50"/>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UE capability framework in 5G</w:t>
      </w:r>
    </w:p>
    <w:p w14:paraId="7963E474">
      <w:pPr>
        <w:spacing w:before="120" w:beforeLines="50" w:after="120" w:afterLines="50"/>
        <w:rPr>
          <w:rFonts w:ascii="Times New Roman" w:hAnsi="Times New Roman" w:cs="Times New Roman"/>
        </w:rPr>
      </w:pPr>
      <w:r>
        <w:rPr>
          <w:rFonts w:ascii="Times New Roman" w:hAnsi="Times New Roman" w:cs="Times New Roman"/>
        </w:rPr>
        <w:t>In 5G, the UE capability framework has evolved significantly to manage an ever-growing list of supported bands, features, and parameters. Early LTE (Rel-8) networks used a single UE Capability Information message during initial attach, where the UE would report its entire capability set (such as supported radio access technologies, frequency bands, categories, carrier aggregation support, etc.) in one go. As LTE advanced and 5G NR was introduced, the volume of capability information expanded dramatically – for instance, the number of supported band combinations grew from only dozens to hundreds, and new feature flags (e.g., Feature Group Indicators) multiplied accordingly. Transmitting such a comprehensive capability list in one shot became inefficient and sometimes impractical: the message could approach or exceed RRC payload limits, and sending so much data at connection setup increased signaling overhead and latency.</w:t>
      </w:r>
    </w:p>
    <w:p w14:paraId="5FC5921F">
      <w:pPr>
        <w:spacing w:before="120" w:beforeLines="50" w:after="120" w:afterLines="50"/>
        <w:rPr>
          <w:rFonts w:ascii="Times New Roman" w:hAnsi="Times New Roman" w:cs="Times New Roman"/>
        </w:rPr>
      </w:pPr>
      <w:r>
        <w:rPr>
          <w:rFonts w:ascii="Times New Roman" w:hAnsi="Times New Roman" w:cs="Times New Roman"/>
        </w:rPr>
        <w:t>To address these issues, 3GPP introduced optimization techniques in 5G. In Rel-16, the concept of UE Radio Capability Signaling Optimization (RACS) was added. With RACS, when a UE first attaches, it still provides its full capability set, but the core network then assigns a short “UE Capability ID” for that UE and stores the detailed capability information in a network database (the UE Capability Management Function, UCMF). On subsequent connections or handovers, the UE can simply transmit this capability ID instead of the entire capability list, and the network retrieves the stored capabilities from the database. This significantly reduces duplicate over-the-air reporting of the same capabilities during mobility.</w:t>
      </w:r>
    </w:p>
    <w:p w14:paraId="0C228DEA">
      <w:pPr>
        <w:spacing w:before="120" w:beforeLines="50" w:after="120" w:afterLines="50"/>
        <w:rPr>
          <w:rFonts w:ascii="Times New Roman" w:hAnsi="Times New Roman" w:cs="Times New Roman"/>
        </w:rPr>
      </w:pPr>
      <w:r>
        <w:rPr>
          <w:rFonts w:ascii="Times New Roman" w:hAnsi="Times New Roman" w:cs="Times New Roman"/>
        </w:rPr>
        <w:t>In addition, the 5G NR RAN interface allows capabilities to be reported in a segmented and on-demand fashion. Instead of always requesting the full capability set, the gNB can query specific portions of a UE’s capabilities as needed using multiple UE Capability Enquiry messages. For example, the network might first inquire whether the UE supports EN-DC (EUTRA-NR Dual Connectivity); only if the answer is yes will it request the detailed band combination information for LTE+NR. Capabilities are organized into separate information elements (IEs) so that the UE can report only the relevant subset, avoiding unnecessary data transfer. The use of Feature Group Indicators (FGIs) also helps compress the information by indicating support for groups of features with single bits. These mechanisms improved efficiency compared to legacy one-shot reporting.</w:t>
      </w:r>
    </w:p>
    <w:p w14:paraId="3B8F2728">
      <w:pPr>
        <w:spacing w:before="120" w:beforeLines="50" w:after="120" w:afterLines="50"/>
        <w:rPr>
          <w:rFonts w:ascii="Times New Roman" w:hAnsi="Times New Roman" w:cs="Times New Roman"/>
        </w:rPr>
      </w:pPr>
      <w:r>
        <w:rPr>
          <w:rFonts w:ascii="Times New Roman" w:hAnsi="Times New Roman" w:cs="Times New Roman"/>
        </w:rPr>
        <w:t>However, despite these improvements, the fundamental challenge remains: the size and complexity of UE capability signaling continued to grow in 5G. Even with RACS and selective reporting, the network still ultimately needs to handle extremely large capability datasets for some UEs, and UEs must at least once transmit a full set of capabilities. The current framework does not fundamentally solve the overhead problem and may struggle to scale further for 6G.</w:t>
      </w:r>
    </w:p>
    <w:p w14:paraId="26E93C29">
      <w:pPr>
        <w:spacing w:before="120" w:beforeLines="50" w:after="120" w:afterLines="50"/>
        <w:rPr>
          <w:rFonts w:cs="Arial"/>
          <w:i/>
          <w:sz w:val="18"/>
        </w:rPr>
      </w:pPr>
      <w:r>
        <w:rPr>
          <w:rFonts w:ascii="Times New Roman" w:hAnsi="Times New Roman" w:cs="Times New Roman"/>
          <w:b/>
          <w:bCs/>
          <w:i/>
          <w:iCs/>
          <w:szCs w:val="21"/>
        </w:rPr>
        <w:t>Observation 1: The 5G NR UE capability framework, even with such optimizations (e.g., capability databases and on-demand queries), still has inherent efficiency and scalability limitations – signaling overhead remains significant and difficult to manage as the number of supported bands and features continues to increase.</w:t>
      </w:r>
    </w:p>
    <w:p w14:paraId="43B91EAE">
      <w:pPr>
        <w:numPr>
          <w:ilvl w:val="0"/>
          <w:numId w:val="5"/>
        </w:numPr>
        <w:spacing w:before="120" w:beforeLines="50" w:after="120" w:afterLines="50"/>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6GR requirements and challenges</w:t>
      </w:r>
    </w:p>
    <w:p w14:paraId="2CF21C6D">
      <w:pPr>
        <w:spacing w:before="120" w:beforeLines="50" w:after="120" w:afterLines="50"/>
        <w:rPr>
          <w:rFonts w:ascii="Times New Roman" w:hAnsi="Times New Roman" w:cs="Times New Roman"/>
        </w:rPr>
      </w:pPr>
      <w:r>
        <w:rPr>
          <w:rFonts w:hint="eastAsia" w:ascii="Times New Roman" w:hAnsi="Times New Roman" w:cs="Times New Roman"/>
        </w:rPr>
        <w:t>For 6G, the usage scenarios and system objectives will be far more diverse and demanding than in 5G. According to the IMT-2030 vision outlined by ITU-R and studies in 3GPP, 6G is expected to extend beyond the three primary 5G service categories (eMBB, URLLC, mMTC) to support new paradigms such as truly immersive XR/VR experiences, ultra-massive machine-type communications, global ubiquitous connectivity (including non-terrestrial networks like satellites and high-altitude platforms), integrated sensing and communication (ISAC), and AI-native network services. The industry consensus is converging on a unified air interface design for 6G that can flexibly accommodate this wide range of requirements within a single framework, rather than having separate radio technologies for different use cases. A 6G “unified” air interface would be highly scalable and configurable – capable of supporting everything from extreme high-throughput services to ultra-low-power IoT devices under one umbrella.</w:t>
      </w:r>
    </w:p>
    <w:p w14:paraId="3952993E">
      <w:pPr>
        <w:spacing w:before="120" w:beforeLines="50" w:after="120" w:afterLines="50"/>
        <w:rPr>
          <w:rFonts w:ascii="Times New Roman" w:hAnsi="Times New Roman" w:cs="Times New Roman"/>
        </w:rPr>
      </w:pPr>
      <w:r>
        <w:rPr>
          <w:rFonts w:hint="eastAsia" w:ascii="Times New Roman" w:hAnsi="Times New Roman" w:cs="Times New Roman"/>
        </w:rPr>
        <w:t>This ambitious vision brings new challenges for the UE capability framework. 6G devices will potentially operate across an even broader spectrum (including new frequency ranges beyond mmWave, sometimes referred to as FR3) and will incorporate many new features and radio access options (for example, advanced waveforms, very high-order MIMO, joint communication-and-sensing capabilities, AI processing features, etc.). Moreover, 6G is likely to introduce a greater variety of device types with significantly different capability profiles – from simple sensors and wearables to complex AR/VR terminals and autonomous vehicles. If the UE capability reporting mechanism remains similar to 5G’s, the amount of information each device needs to signal could become prohibitively large, leading to excessive signaling load and increased connection setup latency. Therefore, more efficient methods are needed for a UE to inform the network of its capabilities in 6G.</w:t>
      </w:r>
    </w:p>
    <w:p w14:paraId="16AD7AE7">
      <w:pPr>
        <w:spacing w:before="120" w:beforeLines="50" w:after="120" w:afterLines="50"/>
        <w:rPr>
          <w:rFonts w:ascii="Times New Roman" w:hAnsi="Times New Roman" w:cs="Times New Roman"/>
          <w:b/>
          <w:bCs/>
          <w:i/>
          <w:iCs/>
          <w:szCs w:val="21"/>
        </w:rPr>
      </w:pPr>
      <w:r>
        <w:rPr>
          <w:rFonts w:hint="eastAsia" w:ascii="Times New Roman" w:hAnsi="Times New Roman" w:cs="Times New Roman"/>
          <w:b/>
          <w:bCs/>
          <w:i/>
          <w:iCs/>
          <w:szCs w:val="21"/>
        </w:rPr>
        <w:t>Observation 2: 6G’s diverse scenarios and the vision of a unified air interface will dramatically expand the scope of UE capabilities (more bands, features, device types), making it imperative to rethink the capability framework so that UEs can efficiently convey their supported capabilities without incurring excessive signaling overhead.</w:t>
      </w:r>
    </w:p>
    <w:p w14:paraId="54AA98E0">
      <w:pPr>
        <w:numPr>
          <w:ilvl w:val="0"/>
          <w:numId w:val="5"/>
        </w:numPr>
        <w:spacing w:before="120" w:beforeLines="50" w:after="120" w:afterLines="50"/>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UE capability framework</w:t>
      </w:r>
      <w:r>
        <w:rPr>
          <w:rFonts w:hint="eastAsia" w:ascii="Times New Roman" w:hAnsi="Times New Roman" w:eastAsia="宋体" w:cs="Times New Roman"/>
          <w:b/>
          <w:bCs/>
          <w:kern w:val="0"/>
          <w:sz w:val="24"/>
          <w:szCs w:val="24"/>
        </w:rPr>
        <w:t xml:space="preserve"> for 6GR</w:t>
      </w:r>
    </w:p>
    <w:p w14:paraId="1C1776BE">
      <w:pPr>
        <w:spacing w:before="120" w:beforeLines="50" w:after="120" w:afterLines="50"/>
        <w:rPr>
          <w:rFonts w:ascii="Times New Roman" w:hAnsi="Times New Roman" w:cs="Times New Roman"/>
        </w:rPr>
      </w:pPr>
      <w:r>
        <w:rPr>
          <w:rFonts w:ascii="Times New Roman" w:hAnsi="Times New Roman" w:cs="Times New Roman"/>
        </w:rPr>
        <w:t>To meet these challenges, a multi-level UE capability framework is proposed for 6GR. In this framework, a UE’s capabilities are conveyed in a hierarchical, two-step manner:</w:t>
      </w:r>
    </w:p>
    <w:p w14:paraId="4C6B6818">
      <w:pPr>
        <w:numPr>
          <w:ilvl w:val="0"/>
          <w:numId w:val="6"/>
        </w:numPr>
        <w:spacing w:before="120" w:beforeLines="50" w:after="120" w:afterLines="50"/>
        <w:rPr>
          <w:rFonts w:ascii="Times New Roman" w:hAnsi="Times New Roman" w:cs="Times New Roman"/>
        </w:rPr>
      </w:pPr>
      <w:r>
        <w:rPr>
          <w:rFonts w:ascii="Times New Roman" w:hAnsi="Times New Roman" w:cs="Times New Roman"/>
          <w:b/>
          <w:bCs/>
        </w:rPr>
        <w:t xml:space="preserve">Device Type Declaration (Level 1): </w:t>
      </w:r>
      <w:r>
        <w:rPr>
          <w:rFonts w:ascii="Times New Roman" w:hAnsi="Times New Roman" w:cs="Times New Roman"/>
        </w:rPr>
        <w:t>At the first level, the UE explicitly indicates its broad device type or class. This could be a concise identifier that classifies the UE into a category with known characteristics. For example, device classes might include an eMBB terminal (a high-throughput enhanced mobile broadband device such as a smartphone), a massive IoT device (a low-power, narrowband sensor), an XR device (an extended reality headset with ultra-high data rate and low latency requirements), or other categories like URLLC-focused devices (ultra-reliable low-latency devices) as needed for 6G. The UE would send a short device-class indicator to inform the network of its general category. This immediately gives the gNB a high-level understanding of the UE’s profile and typical capability range.</w:t>
      </w:r>
    </w:p>
    <w:p w14:paraId="707B1715">
      <w:pPr>
        <w:numPr>
          <w:ilvl w:val="0"/>
          <w:numId w:val="6"/>
        </w:numPr>
        <w:spacing w:before="120" w:beforeLines="50" w:after="120" w:afterLines="50"/>
        <w:rPr>
          <w:rFonts w:ascii="Times New Roman" w:hAnsi="Times New Roman" w:cs="Times New Roman"/>
        </w:rPr>
      </w:pPr>
      <w:r>
        <w:rPr>
          <w:rFonts w:ascii="Times New Roman" w:hAnsi="Times New Roman" w:cs="Times New Roman"/>
          <w:b/>
          <w:bCs/>
        </w:rPr>
        <w:t xml:space="preserve">Targeted Capability Details (Level 2): </w:t>
      </w:r>
      <w:r>
        <w:rPr>
          <w:rFonts w:ascii="Times New Roman" w:hAnsi="Times New Roman" w:cs="Times New Roman"/>
        </w:rPr>
        <w:t>After declaring its type, the UE provides only the capability details relevant to that class. In other words, the second level consists of a tailored set of capability parameters specific to the device’s category. For instance, an IoT-class UE would report capabilities pertinent to IoT operation (such as its maximum supported uplink rate, power-saving features, etc.) and omit fields related to high-bandwidth or high-complexity features (like high-order MIMO configurations) that only apply to eMBB-class devices. Conversely, an XR-class UE might include details about high-resolution video support or specialized low-latency modes, but skip unrelated parameters that would only matter for IoT or basic broadband devices.</w:t>
      </w:r>
    </w:p>
    <w:p w14:paraId="0AF63EA4">
      <w:pPr>
        <w:spacing w:before="120" w:beforeLines="50" w:after="120" w:afterLines="50"/>
        <w:rPr>
          <w:rFonts w:ascii="Times New Roman" w:hAnsi="Times New Roman" w:cs="Times New Roman"/>
        </w:rPr>
      </w:pPr>
      <w:r>
        <w:rPr>
          <w:rFonts w:ascii="Times New Roman" w:hAnsi="Times New Roman" w:cs="Times New Roman"/>
        </w:rPr>
        <w:t>This structured two-level approach yields a much leaner and more modular capability exchange. By providing a top-level device type first, the UE’s capability signaling becomes inherently segmented: each UE only signals the subset of features that matter for its category. This design has multiple benefits:</w:t>
      </w:r>
    </w:p>
    <w:p w14:paraId="25DAD2E9">
      <w:pPr>
        <w:numPr>
          <w:ilvl w:val="0"/>
          <w:numId w:val="6"/>
        </w:numPr>
        <w:spacing w:before="120" w:beforeLines="50" w:after="120" w:afterLines="50"/>
        <w:rPr>
          <w:rFonts w:ascii="Times New Roman" w:hAnsi="Times New Roman" w:cs="Times New Roman"/>
        </w:rPr>
      </w:pPr>
      <w:r>
        <w:rPr>
          <w:rFonts w:ascii="Times New Roman" w:hAnsi="Times New Roman" w:cs="Times New Roman"/>
          <w:b/>
          <w:bCs/>
        </w:rPr>
        <w:t xml:space="preserve">Reduced Overhead: </w:t>
      </w:r>
      <w:r>
        <w:rPr>
          <w:rFonts w:ascii="Times New Roman" w:hAnsi="Times New Roman" w:cs="Times New Roman"/>
        </w:rPr>
        <w:t xml:space="preserve">The overall number of parameters signaled per UE is minimized, since unnecessary fields for that class are never transmitted. The network no longer has to wade through numerous “not supported” entries for capabilities that a given UE would never use. </w:t>
      </w:r>
    </w:p>
    <w:p w14:paraId="528C9741">
      <w:pPr>
        <w:numPr>
          <w:ilvl w:val="0"/>
          <w:numId w:val="6"/>
        </w:numPr>
        <w:spacing w:before="120" w:beforeLines="50" w:after="120" w:afterLines="50"/>
        <w:rPr>
          <w:rFonts w:ascii="Times New Roman" w:hAnsi="Times New Roman" w:cs="Times New Roman"/>
        </w:rPr>
      </w:pPr>
      <w:r>
        <w:rPr>
          <w:rFonts w:ascii="Times New Roman" w:hAnsi="Times New Roman" w:cs="Times New Roman"/>
          <w:b/>
          <w:bCs/>
        </w:rPr>
        <w:t xml:space="preserve">Scalability and Forward Compatibility: </w:t>
      </w:r>
      <w:r>
        <w:rPr>
          <w:rFonts w:ascii="Times New Roman" w:hAnsi="Times New Roman" w:cs="Times New Roman"/>
        </w:rPr>
        <w:t>The model is inherently scalable to new device types and feature sets. If a new category of device (or a new suite of capabilities) is introduced in the future, it can be added as another top-level type with its own defined sub-profile, without impacting the capability format for existing types.</w:t>
      </w:r>
    </w:p>
    <w:p w14:paraId="5FEA2BAB">
      <w:pPr>
        <w:numPr>
          <w:ilvl w:val="0"/>
          <w:numId w:val="6"/>
        </w:numPr>
        <w:spacing w:before="120" w:beforeLines="50" w:after="120" w:afterLines="50"/>
        <w:rPr>
          <w:rFonts w:ascii="Times New Roman" w:hAnsi="Times New Roman" w:cs="Times New Roman"/>
        </w:rPr>
      </w:pPr>
      <w:r>
        <w:rPr>
          <w:rFonts w:ascii="Times New Roman" w:hAnsi="Times New Roman" w:cs="Times New Roman"/>
          <w:b/>
          <w:bCs/>
        </w:rPr>
        <w:t>Optimized Network Handling:</w:t>
      </w:r>
      <w:r>
        <w:rPr>
          <w:rFonts w:ascii="Times New Roman" w:hAnsi="Times New Roman" w:cs="Times New Roman"/>
        </w:rPr>
        <w:t xml:space="preserve"> Knowing the device class up front allows the network to optimize its configuration and resource allocation for that UE from the start.</w:t>
      </w:r>
    </w:p>
    <w:p w14:paraId="70084A56">
      <w:pPr>
        <w:numPr>
          <w:ilvl w:val="0"/>
          <w:numId w:val="6"/>
        </w:numPr>
        <w:spacing w:before="120" w:beforeLines="50" w:after="120" w:afterLines="50"/>
        <w:rPr>
          <w:rFonts w:ascii="Times New Roman" w:hAnsi="Times New Roman" w:cs="Times New Roman"/>
        </w:rPr>
      </w:pPr>
      <w:r>
        <w:rPr>
          <w:rFonts w:ascii="Times New Roman" w:hAnsi="Times New Roman" w:cs="Times New Roman"/>
          <w:b/>
          <w:bCs/>
        </w:rPr>
        <w:t xml:space="preserve">Selective Capability Queries: </w:t>
      </w:r>
      <w:r>
        <w:rPr>
          <w:rFonts w:ascii="Times New Roman" w:hAnsi="Times New Roman" w:cs="Times New Roman"/>
        </w:rPr>
        <w:t>This framework also naturally supports on-demand capability querying. Since the initial signaling is minimal and focused, the network may subsequently query additional capability details only if needed for a specific service or scenario..</w:t>
      </w:r>
    </w:p>
    <w:p w14:paraId="5FB48E63">
      <w:pPr>
        <w:spacing w:before="120" w:beforeLines="50" w:after="120" w:afterLines="50"/>
        <w:rPr>
          <w:rFonts w:ascii="Times New Roman" w:hAnsi="Times New Roman" w:cs="Times New Roman"/>
        </w:rPr>
      </w:pPr>
      <w:r>
        <w:rPr>
          <w:rFonts w:ascii="Times New Roman" w:hAnsi="Times New Roman" w:cs="Times New Roman"/>
        </w:rPr>
        <w:t>Overall, by adopting a multi-level, device-type–oriented UE capability framework in 6G, the system can significantly streamline capability signaling and make it far more modular and scalable than the 5G approach.</w:t>
      </w:r>
    </w:p>
    <w:p w14:paraId="5166CFDC">
      <w:pPr>
        <w:spacing w:before="120" w:beforeLines="50" w:after="120" w:afterLines="50"/>
        <w:rPr>
          <w:rFonts w:ascii="Times New Roman" w:hAnsi="Times New Roman" w:cs="Times New Roman"/>
          <w:b/>
          <w:bCs/>
          <w:i/>
          <w:iCs/>
          <w:szCs w:val="21"/>
        </w:rPr>
      </w:pPr>
      <w:r>
        <w:rPr>
          <w:rFonts w:hint="eastAsia" w:ascii="Times New Roman" w:hAnsi="Times New Roman" w:cs="Times New Roman"/>
          <w:b/>
          <w:bCs/>
          <w:i/>
          <w:iCs/>
          <w:szCs w:val="21"/>
        </w:rPr>
        <w:t>Proposal 1: to adopt a multi-level, device-type–oriented UE capability framework in 6G to streamline capability signaling and make it more modular and scalable.</w:t>
      </w:r>
    </w:p>
    <w:p w14:paraId="26A10C3C">
      <w:pPr>
        <w:pStyle w:val="3"/>
        <w:numPr>
          <w:ilvl w:val="1"/>
          <w:numId w:val="4"/>
        </w:numPr>
        <w:tabs>
          <w:tab w:val="left" w:pos="420"/>
          <w:tab w:val="clear" w:pos="756"/>
        </w:tabs>
        <w:spacing w:before="180" w:after="120" w:line="240" w:lineRule="auto"/>
        <w:ind w:left="424" w:hanging="424"/>
        <w:rPr>
          <w:rFonts w:ascii="Times New Roman" w:hAnsi="Times New Roman" w:cs="Times New Roman"/>
        </w:rPr>
      </w:pPr>
      <w:r>
        <w:rPr>
          <w:rFonts w:hint="eastAsia" w:ascii="Times New Roman" w:hAnsi="Times New Roman" w:eastAsia="宋体" w:cs="Times New Roman"/>
          <w:sz w:val="24"/>
          <w:szCs w:val="24"/>
          <w:lang w:val="en-US" w:eastAsia="zh-CN"/>
        </w:rPr>
        <w:t xml:space="preserve"> Dynamic capability change in connected mode</w:t>
      </w:r>
      <w:r>
        <w:rPr>
          <w:rFonts w:ascii="Times New Roman" w:hAnsi="Times New Roman" w:cs="Times New Roman"/>
        </w:rPr>
        <w:t xml:space="preserve"> </w:t>
      </w:r>
    </w:p>
    <w:p w14:paraId="7CBB63D3">
      <w:pPr>
        <w:numPr>
          <w:ilvl w:val="0"/>
          <w:numId w:val="5"/>
        </w:numPr>
        <w:spacing w:before="120" w:beforeLines="50" w:after="120" w:afterLines="50"/>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Potential need for dynamic capability change in RRC Connected mode</w:t>
      </w:r>
    </w:p>
    <w:p w14:paraId="589BBB72">
      <w:pPr>
        <w:spacing w:before="120" w:beforeLines="50" w:after="120" w:afterLines="50"/>
        <w:rPr>
          <w:rFonts w:ascii="Times New Roman" w:hAnsi="Times New Roman" w:cs="Times New Roman"/>
        </w:rPr>
      </w:pPr>
      <w:r>
        <w:rPr>
          <w:rFonts w:ascii="Times New Roman" w:hAnsi="Times New Roman" w:cs="Times New Roman"/>
        </w:rPr>
        <w:t>In current 5G NR, once a UE has provided its capabilities (typically during initial attach or during RRC setup via the UE Capability Information message), those reported capabilities are assumed to remain static for the duration of the connection. The network does not expect the UE’s supported features to change until the next time it reconnects. However, future 6G devices are likely to operate in dynamically changing contexts and modes where their effective radio capabilities might need to scale up or down during an ongoing connection. We identify several scenarios that drive the need for dynamic capability changes in RRC_CONNECTED mode:</w:t>
      </w:r>
    </w:p>
    <w:p w14:paraId="4D511F78">
      <w:pPr>
        <w:numPr>
          <w:ilvl w:val="0"/>
          <w:numId w:val="7"/>
        </w:numPr>
        <w:spacing w:before="120" w:beforeLines="50" w:after="120" w:afterLines="50"/>
      </w:pPr>
      <w:r>
        <w:rPr>
          <w:rFonts w:ascii="Times New Roman" w:hAnsi="Times New Roman" w:cs="Times New Roman"/>
          <w:b/>
          <w:bCs/>
        </w:rPr>
        <w:t xml:space="preserve">Mode Switching (eMBB ↔ IoT power-saving mode): </w:t>
      </w:r>
      <w:r>
        <w:rPr>
          <w:rFonts w:ascii="Times New Roman" w:hAnsi="Times New Roman" w:cs="Times New Roman"/>
        </w:rPr>
        <w:t>A multi-mode 6G device, such as a smartphone, might support both a high-performance eMBB mode and a low-power IoT-centric mode. For example, while downloading data or running an AR/VR application, the device could utilize its full radio capabilities (multiple MIMO layers, wide bandwidth, high-order modulation, etc.). Later on, when only background tasks are active or the user is idle, the device may wish to drop down to a minimal radio configuration to conserve energy (e.g., using narrower bandwidth, fewer MIMO layers, and lower transmit power). Enabling a seamless switch between such disparate modes without tearing down the connection requires the UE to update the network about the reduction (or expansion) of its capabilities in real time.</w:t>
      </w:r>
    </w:p>
    <w:p w14:paraId="5103E1C4">
      <w:pPr>
        <w:numPr>
          <w:ilvl w:val="0"/>
          <w:numId w:val="7"/>
        </w:numPr>
        <w:spacing w:before="120" w:beforeLines="50" w:after="120" w:afterLines="50"/>
        <w:rPr>
          <w:rFonts w:ascii="Times New Roman" w:hAnsi="Times New Roman" w:cs="Times New Roman"/>
        </w:rPr>
      </w:pPr>
      <w:r>
        <w:rPr>
          <w:rFonts w:ascii="Times New Roman" w:hAnsi="Times New Roman" w:cs="Times New Roman"/>
          <w:b/>
          <w:bCs/>
        </w:rPr>
        <w:t xml:space="preserve">Context- or Application-Driven Changes: </w:t>
      </w:r>
      <w:r>
        <w:rPr>
          <w:rFonts w:ascii="Times New Roman" w:hAnsi="Times New Roman" w:cs="Times New Roman"/>
        </w:rPr>
        <w:t>Certain applications or context changes could temporarily require the UE to use additional capabilities or, conversely, allow it to disable some capabilities. For instance, an extended reality (XR) headset might normally operate with moderate throughput and processing, but when the user starts an immersive holographic video session, the device could activate an extra antenna module or a higher-order decoding capability to support the increased data rate and low latency requirements. After the session, it might turn off those extra capabilities to save power and reduce heat generation. As another example, a vehicular UE might enable specific safety-related communication features only when the vehicle’s engine is on. In such cases, the UE’s supported capability set effectively changes based on context, and the network should be informed of these changes so it can adjust scheduling and resource allocation accordingly.</w:t>
      </w:r>
    </w:p>
    <w:p w14:paraId="1C434935">
      <w:pPr>
        <w:numPr>
          <w:ilvl w:val="0"/>
          <w:numId w:val="7"/>
        </w:numPr>
        <w:spacing w:before="120" w:beforeLines="50" w:after="120" w:afterLines="50"/>
      </w:pPr>
      <w:r>
        <w:rPr>
          <w:rFonts w:ascii="Times New Roman" w:hAnsi="Times New Roman" w:cs="Times New Roman"/>
          <w:b/>
          <w:bCs/>
        </w:rPr>
        <w:t xml:space="preserve">Resource or Hardware Constraints: </w:t>
      </w:r>
      <w:r>
        <w:rPr>
          <w:rFonts w:ascii="Times New Roman" w:hAnsi="Times New Roman" w:cs="Times New Roman"/>
        </w:rPr>
        <w:t>UEs might experience internal conditions that necessitate a temporary change in their capabilities – for example, in a modular hardware design, if a removable module (such as an external antenna or mmWave radio module) is detached, the UE instantly loses support for the bands or features provided by that module. In today’s 5G, the network would not know about these runtime changes and might continue scheduling the UE in ways that exceed its current capability (leading to failures or inefficiencies). In 6G, it would be preferable for the UE to formally notify the network of such capability downgrades or restorations on the fly.</w:t>
      </w:r>
    </w:p>
    <w:p w14:paraId="0678DFB7">
      <w:pPr>
        <w:spacing w:before="120" w:beforeLines="50" w:after="120" w:afterLines="50"/>
        <w:rPr>
          <w:rFonts w:ascii="Times New Roman" w:hAnsi="Times New Roman" w:cs="Times New Roman"/>
          <w:b/>
          <w:bCs/>
          <w:i/>
          <w:iCs/>
          <w:szCs w:val="21"/>
        </w:rPr>
      </w:pPr>
      <w:r>
        <w:rPr>
          <w:rFonts w:hint="eastAsia" w:ascii="Times New Roman" w:hAnsi="Times New Roman" w:cs="Times New Roman"/>
          <w:b/>
          <w:bCs/>
          <w:i/>
          <w:iCs/>
          <w:szCs w:val="21"/>
        </w:rPr>
        <w:t>Observation 3: The ability for a UE to dynamically update its capabilities during an active RRC connection may be required in scenarios such as mode shifts between high-performance and low-power modes, application-triggered capability changes, and responses to internal resource/hardware constraints.</w:t>
      </w:r>
    </w:p>
    <w:p w14:paraId="222DDA9A">
      <w:pPr>
        <w:numPr>
          <w:ilvl w:val="0"/>
          <w:numId w:val="5"/>
        </w:numPr>
        <w:spacing w:before="120" w:beforeLines="50" w:after="120" w:afterLines="50"/>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Mechanism for dynamic capability change in connected mode</w:t>
      </w:r>
    </w:p>
    <w:p w14:paraId="05610C2F">
      <w:pPr>
        <w:spacing w:before="120" w:beforeLines="50" w:after="120" w:afterLines="50"/>
        <w:rPr>
          <w:rFonts w:ascii="Times New Roman" w:hAnsi="Times New Roman" w:cs="Times New Roman"/>
        </w:rPr>
      </w:pPr>
      <w:r>
        <w:rPr>
          <w:rFonts w:ascii="Times New Roman" w:hAnsi="Times New Roman" w:cs="Times New Roman"/>
        </w:rPr>
        <w:t>In 5G NR, a limited mechanism exists in the form of UE Assistance Information (UAI), which allows a UE to hint its preference for certain configurations (often to save power or reduce thermal load). While UAI is a step toward dynamic adaptation, it is not a comprehensive solution for capability changes – it mainly lets the UE request the network to adjust some parameters, rather than declaring a change in what the UE is fundamentally capable of. Currently, there is no standardized RRC procedure that allows a UE to update its supported capabilities during an ongoing RRC_CONNECTED session. If a significant change in capability is required, the only recourse in 5G is essentially to release the connection and re-establish it (or for the network to attempt to re-query the UE’s capabilities if it somehow infers a change, which is not part of any defined procedure). This lack of flexibility could be a serious drawback in 6G scenarios where UEs might need to fluidly transition between different capability profiles without service interruption.</w:t>
      </w:r>
    </w:p>
    <w:p w14:paraId="095F6BFC">
      <w:pPr>
        <w:spacing w:before="120" w:beforeLines="50" w:after="120" w:afterLines="50"/>
        <w:rPr>
          <w:rFonts w:ascii="Times New Roman" w:hAnsi="Times New Roman" w:cs="Times New Roman"/>
        </w:rPr>
      </w:pPr>
      <w:r>
        <w:rPr>
          <w:rFonts w:ascii="Times New Roman" w:hAnsi="Times New Roman" w:cs="Times New Roman"/>
        </w:rPr>
        <w:t>Therefore, we propose introducing a new RRC mechanism for UE-initiated capability change in 6G NR. This mechanism would empower the UE to actively signal changes in its capabilities to the network during an ongoing connection, allowing the network to adapt on the fly. The high-level design of such a mechanism is as follows:</w:t>
      </w:r>
    </w:p>
    <w:p w14:paraId="101902E4">
      <w:pPr>
        <w:numPr>
          <w:ilvl w:val="0"/>
          <w:numId w:val="8"/>
        </w:numPr>
        <w:spacing w:before="120" w:beforeLines="50" w:after="120" w:afterLines="50"/>
        <w:rPr>
          <w:rFonts w:ascii="Times New Roman" w:hAnsi="Times New Roman" w:cs="Times New Roman"/>
        </w:rPr>
      </w:pPr>
      <w:r>
        <w:rPr>
          <w:rFonts w:ascii="Times New Roman" w:hAnsi="Times New Roman" w:cs="Times New Roman"/>
          <w:b/>
          <w:bCs/>
        </w:rPr>
        <w:t>UE-Initiated Request:</w:t>
      </w:r>
      <w:r>
        <w:rPr>
          <w:rFonts w:ascii="Times New Roman" w:hAnsi="Times New Roman" w:cs="Times New Roman"/>
        </w:rPr>
        <w:t xml:space="preserve"> When a UE determines that it needs to modify its supported capability set (due to one of the scenarios discussed above or other criteria), it would send a Capability Change Request (name TBD) message to the gNB. This RRC message would indicate the nature of the capability change – for example, specifying which capability is being reduced or expanded.</w:t>
      </w:r>
    </w:p>
    <w:p w14:paraId="3EE2FFE0">
      <w:pPr>
        <w:numPr>
          <w:ilvl w:val="0"/>
          <w:numId w:val="8"/>
        </w:numPr>
        <w:spacing w:before="120" w:beforeLines="50" w:after="120" w:afterLines="50"/>
        <w:rPr>
          <w:rFonts w:ascii="Times New Roman" w:hAnsi="Times New Roman" w:cs="Times New Roman"/>
        </w:rPr>
      </w:pPr>
      <w:r>
        <w:rPr>
          <w:rFonts w:ascii="Times New Roman" w:hAnsi="Times New Roman" w:cs="Times New Roman"/>
          <w:b/>
          <w:bCs/>
        </w:rPr>
        <w:t xml:space="preserve">Synchronization with core network: </w:t>
      </w:r>
      <w:r>
        <w:rPr>
          <w:rFonts w:ascii="Times New Roman" w:hAnsi="Times New Roman" w:cs="Times New Roman"/>
        </w:rPr>
        <w:t>Upon receiving the UE’s request, the gNB updates the core network about the UE’s changed capabilities (for instance, informing the appropriate function in the core so that the centralized record of the UE’s capabilities is updated). The gNB would then adjust the UE’s configuration accordingly – for example, by issuing an RRC Reconfiguration message to activate or deactivate certain features, or to alter scheduling parameters in line with the new capabilities. This ensures that the change in capability is consistently applied across the RAN and core network.</w:t>
      </w:r>
    </w:p>
    <w:p w14:paraId="72485144">
      <w:pPr>
        <w:spacing w:before="120" w:beforeLines="50" w:after="120" w:afterLines="50"/>
        <w:rPr>
          <w:szCs w:val="21"/>
        </w:rPr>
      </w:pPr>
      <w:r>
        <w:rPr>
          <w:rFonts w:hint="eastAsia" w:ascii="Times New Roman" w:hAnsi="Times New Roman" w:cs="Times New Roman"/>
          <w:b/>
          <w:bCs/>
          <w:i/>
          <w:iCs/>
          <w:szCs w:val="21"/>
        </w:rPr>
        <w:t>Proposal 2: A UE-initiated capability change request procedure should be introduced in 6GR, and any change in the UE’s capability should be synchronized between the gNB and the core network in a timely manner.</w:t>
      </w:r>
    </w:p>
    <w:p w14:paraId="6FADE47E">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Conclusion</w:t>
      </w:r>
    </w:p>
    <w:p w14:paraId="5DD7DAE2">
      <w:pPr>
        <w:spacing w:after="120" w:afterLines="50"/>
        <w:rPr>
          <w:rFonts w:ascii="Times New Roman" w:hAnsi="Times New Roman" w:cs="Times New Roman"/>
          <w:szCs w:val="21"/>
        </w:rPr>
      </w:pPr>
      <w:r>
        <w:rPr>
          <w:rFonts w:hint="eastAsia" w:ascii="Times New Roman" w:hAnsi="Times New Roman" w:cs="Times New Roman"/>
          <w:szCs w:val="21"/>
        </w:rPr>
        <w:t>In this contribution, we discussed the following aspect of UE capability for 6GR</w:t>
      </w:r>
      <w:r>
        <w:rPr>
          <w:rFonts w:hint="eastAsia" w:ascii="Times New Roman" w:hAnsi="Times New Roman" w:cs="Times New Roman"/>
        </w:rPr>
        <w:t xml:space="preserve"> </w:t>
      </w:r>
      <w:r>
        <w:rPr>
          <w:rFonts w:hint="eastAsia" w:ascii="Times New Roman" w:hAnsi="Times New Roman" w:cs="Times New Roman"/>
          <w:szCs w:val="21"/>
        </w:rPr>
        <w:t xml:space="preserve">and provided our proposals as follows: </w:t>
      </w:r>
    </w:p>
    <w:p w14:paraId="1FB347CA">
      <w:pPr>
        <w:numPr>
          <w:ilvl w:val="0"/>
          <w:numId w:val="9"/>
        </w:numPr>
        <w:spacing w:after="120" w:afterLines="50"/>
        <w:rPr>
          <w:rFonts w:ascii="Times New Roman" w:hAnsi="Times New Roman" w:cs="Times New Roman"/>
          <w:szCs w:val="21"/>
        </w:rPr>
      </w:pPr>
      <w:r>
        <w:rPr>
          <w:rFonts w:hint="eastAsia" w:ascii="Times New Roman" w:hAnsi="Times New Roman" w:eastAsia="宋体" w:cs="Times New Roman"/>
          <w:sz w:val="24"/>
          <w:szCs w:val="24"/>
        </w:rPr>
        <w:t>capability framework</w:t>
      </w:r>
    </w:p>
    <w:p w14:paraId="250C175C">
      <w:pPr>
        <w:spacing w:before="120" w:beforeLines="50" w:after="120" w:afterLines="50"/>
        <w:ind w:left="1880" w:leftChars="200" w:hanging="1460" w:hangingChars="695"/>
        <w:rPr>
          <w:rFonts w:ascii="Times New Roman" w:hAnsi="Times New Roman" w:cs="Times New Roman"/>
          <w:b/>
          <w:bCs/>
          <w:i/>
          <w:iCs/>
          <w:szCs w:val="21"/>
        </w:rPr>
      </w:pPr>
      <w:r>
        <w:rPr>
          <w:rFonts w:ascii="Times New Roman" w:hAnsi="Times New Roman" w:cs="Times New Roman"/>
          <w:b/>
          <w:bCs/>
          <w:i/>
          <w:iCs/>
          <w:szCs w:val="21"/>
        </w:rPr>
        <w:t>Observation 1: The 5G NR UE capability framework, even with such optimizations (e.g., capability databases and on-demand queries), still has inherent efficiency and scalability limitations – signaling overhead remains significant and difficult to manage as the number of supported bands and features continues to increase.</w:t>
      </w:r>
    </w:p>
    <w:p w14:paraId="286EF190">
      <w:pPr>
        <w:spacing w:before="120" w:beforeLines="50" w:after="120" w:afterLines="50"/>
        <w:ind w:left="1880" w:leftChars="200" w:hanging="1460" w:hangingChars="695"/>
        <w:rPr>
          <w:rFonts w:ascii="Times New Roman" w:hAnsi="Times New Roman" w:cs="Times New Roman"/>
          <w:b/>
          <w:bCs/>
          <w:i/>
          <w:iCs/>
          <w:szCs w:val="21"/>
        </w:rPr>
      </w:pPr>
      <w:r>
        <w:rPr>
          <w:rFonts w:hint="eastAsia" w:ascii="Times New Roman" w:hAnsi="Times New Roman" w:cs="Times New Roman"/>
          <w:b/>
          <w:bCs/>
          <w:i/>
          <w:iCs/>
          <w:szCs w:val="21"/>
        </w:rPr>
        <w:t>Observation 2: 6G’s diverse scenarios and the vision of a unified air interface will dramatically expand the scope of UE capabilities (more bands, features, device types), making it imperative to rethink the capability framework so that UEs can efficiently convey their supported capabilities without incurring excessive signaling overhead.</w:t>
      </w:r>
    </w:p>
    <w:p w14:paraId="7674C63A">
      <w:pPr>
        <w:spacing w:before="120" w:beforeLines="50" w:after="120" w:afterLines="50"/>
        <w:ind w:left="1880" w:leftChars="200" w:hanging="1460" w:hangingChars="695"/>
        <w:rPr>
          <w:rFonts w:ascii="Times New Roman" w:hAnsi="Times New Roman" w:cs="Times New Roman"/>
          <w:b/>
          <w:bCs/>
          <w:i/>
          <w:iCs/>
          <w:szCs w:val="21"/>
        </w:rPr>
      </w:pPr>
      <w:r>
        <w:rPr>
          <w:rFonts w:hint="eastAsia" w:ascii="Times New Roman" w:hAnsi="Times New Roman" w:cs="Times New Roman"/>
          <w:b/>
          <w:bCs/>
          <w:i/>
          <w:iCs/>
          <w:szCs w:val="21"/>
        </w:rPr>
        <w:t>Proposal 1:   to adopt a multi-level, device-type–oriented UE capability framework in 6G to streamline capability signaling and make it more modular and scalable.</w:t>
      </w:r>
    </w:p>
    <w:p w14:paraId="30A2878E">
      <w:pPr>
        <w:numPr>
          <w:ilvl w:val="0"/>
          <w:numId w:val="9"/>
        </w:numPr>
        <w:spacing w:after="120" w:afterLines="50"/>
        <w:rPr>
          <w:rFonts w:ascii="Times New Roman" w:hAnsi="Times New Roman" w:cs="Times New Roman"/>
          <w:szCs w:val="21"/>
        </w:rPr>
      </w:pPr>
      <w:r>
        <w:rPr>
          <w:rFonts w:hint="eastAsia" w:ascii="Times New Roman" w:hAnsi="Times New Roman" w:eastAsia="宋体" w:cs="Times New Roman"/>
          <w:sz w:val="24"/>
          <w:szCs w:val="24"/>
        </w:rPr>
        <w:t>dynamic capability change in connected mode</w:t>
      </w:r>
    </w:p>
    <w:p w14:paraId="0518D4C7">
      <w:pPr>
        <w:spacing w:before="120" w:beforeLines="50" w:after="120" w:afterLines="50"/>
        <w:ind w:left="1880" w:leftChars="200" w:hanging="1460" w:hangingChars="695"/>
        <w:rPr>
          <w:rFonts w:ascii="Times New Roman" w:hAnsi="Times New Roman" w:cs="Times New Roman"/>
          <w:b/>
          <w:bCs/>
          <w:i/>
          <w:iCs/>
          <w:szCs w:val="21"/>
        </w:rPr>
      </w:pPr>
      <w:r>
        <w:rPr>
          <w:rFonts w:hint="eastAsia" w:ascii="Times New Roman" w:hAnsi="Times New Roman" w:cs="Times New Roman"/>
          <w:b/>
          <w:bCs/>
          <w:i/>
          <w:iCs/>
          <w:szCs w:val="21"/>
        </w:rPr>
        <w:t>Observation 3: The ability for a UE to dynamically update its capabilities during an active RRC connection may be required in scenarios such as mode shifts between high-performance and low-power modes, application-triggered capability changes, and responses to internal resource/hardware constraints.</w:t>
      </w:r>
    </w:p>
    <w:p w14:paraId="214F49B9">
      <w:pPr>
        <w:spacing w:before="120" w:beforeLines="50" w:after="120" w:afterLines="50"/>
        <w:ind w:left="1880" w:leftChars="200" w:hanging="1460" w:hangingChars="695"/>
        <w:rPr>
          <w:rFonts w:ascii="Times New Roman" w:hAnsi="Times New Roman" w:cs="Times New Roman"/>
          <w:szCs w:val="21"/>
        </w:rPr>
      </w:pPr>
      <w:r>
        <w:rPr>
          <w:rFonts w:hint="eastAsia" w:ascii="Times New Roman" w:hAnsi="Times New Roman" w:cs="Times New Roman"/>
          <w:b/>
          <w:bCs/>
          <w:i/>
          <w:iCs/>
          <w:szCs w:val="21"/>
        </w:rPr>
        <w:t>Proposal 2:    A UE-initiated capability change request procedure should be introduced in 6GR, and any change in the UE’s capability should be synchronized between the gNB and the core network in a timely manner.</w:t>
      </w:r>
    </w:p>
    <w:p w14:paraId="39E33C24">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References</w:t>
      </w:r>
    </w:p>
    <w:p w14:paraId="1EC8AE41">
      <w:pPr>
        <w:widowControl/>
        <w:numPr>
          <w:ilvl w:val="0"/>
          <w:numId w:val="10"/>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TR 22.870: "Study on 6G Use Cases and Service Requirements".</w:t>
      </w:r>
    </w:p>
    <w:p w14:paraId="13D1B70D">
      <w:pPr>
        <w:widowControl/>
        <w:numPr>
          <w:ilvl w:val="0"/>
          <w:numId w:val="10"/>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TR 38.914: "Study on 6G Scenarios and Requirements"</w:t>
      </w:r>
      <w:r>
        <w:rPr>
          <w:rFonts w:hint="eastAsia" w:ascii="Times New Roman" w:hAnsi="Times New Roman" w:cs="Times New Roman"/>
        </w:rPr>
        <w:t>.</w:t>
      </w:r>
    </w:p>
    <w:p w14:paraId="419285C6">
      <w:pPr>
        <w:widowControl/>
        <w:numPr>
          <w:ilvl w:val="0"/>
          <w:numId w:val="10"/>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RP-252912: " Revised SID: Study on 6G Radio“NTT DOCOMO, CMCC, AT&amp;T, Vodafone Beijing, China, September 15-18, 2025</w:t>
      </w:r>
      <w:r>
        <w:rPr>
          <w:rFonts w:hint="eastAsia" w:ascii="Times New Roman" w:hAnsi="Times New Roman" w:cs="Times New Roman"/>
        </w:rPr>
        <w:t>.</w:t>
      </w:r>
    </w:p>
    <w:sectPr>
      <w:pgSz w:w="11907" w:h="16840"/>
      <w:pgMar w:top="1417" w:right="1134" w:bottom="1417" w:left="1417"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381F25"/>
    <w:multiLevelType w:val="singleLevel"/>
    <w:tmpl w:val="9E381F25"/>
    <w:lvl w:ilvl="0" w:tentative="0">
      <w:start w:val="1"/>
      <w:numFmt w:val="bullet"/>
      <w:lvlText w:val=""/>
      <w:lvlJc w:val="left"/>
      <w:pPr>
        <w:ind w:left="420" w:hanging="420"/>
      </w:pPr>
      <w:rPr>
        <w:rFonts w:hint="default" w:ascii="Wingdings" w:hAnsi="Wingdings"/>
      </w:rPr>
    </w:lvl>
  </w:abstractNum>
  <w:abstractNum w:abstractNumId="1">
    <w:nsid w:val="A4E8F639"/>
    <w:multiLevelType w:val="singleLevel"/>
    <w:tmpl w:val="A4E8F639"/>
    <w:lvl w:ilvl="0" w:tentative="0">
      <w:start w:val="1"/>
      <w:numFmt w:val="bullet"/>
      <w:lvlText w:val=""/>
      <w:lvlJc w:val="left"/>
      <w:pPr>
        <w:ind w:left="420" w:hanging="420"/>
      </w:pPr>
      <w:rPr>
        <w:rFonts w:hint="default" w:ascii="Wingdings" w:hAnsi="Wingdings"/>
      </w:rPr>
    </w:lvl>
  </w:abstractNum>
  <w:abstractNum w:abstractNumId="2">
    <w:nsid w:val="B64FB349"/>
    <w:multiLevelType w:val="multilevel"/>
    <w:tmpl w:val="B64FB349"/>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2"/>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3">
    <w:nsid w:val="CEDA7097"/>
    <w:multiLevelType w:val="singleLevel"/>
    <w:tmpl w:val="CEDA7097"/>
    <w:lvl w:ilvl="0" w:tentative="0">
      <w:start w:val="1"/>
      <w:numFmt w:val="bullet"/>
      <w:lvlText w:val=""/>
      <w:lvlJc w:val="left"/>
      <w:pPr>
        <w:ind w:left="420" w:hanging="420"/>
      </w:pPr>
      <w:rPr>
        <w:rFonts w:hint="default" w:ascii="Wingdings" w:hAnsi="Wingdings"/>
      </w:rPr>
    </w:lvl>
  </w:abstractNum>
  <w:abstractNum w:abstractNumId="4">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5">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6">
    <w:nsid w:val="4771F0A5"/>
    <w:multiLevelType w:val="singleLevel"/>
    <w:tmpl w:val="4771F0A5"/>
    <w:lvl w:ilvl="0" w:tentative="0">
      <w:start w:val="1"/>
      <w:numFmt w:val="bullet"/>
      <w:lvlText w:val=""/>
      <w:lvlJc w:val="left"/>
      <w:pPr>
        <w:ind w:left="420" w:hanging="420"/>
      </w:pPr>
      <w:rPr>
        <w:rFonts w:hint="default" w:ascii="Wingdings" w:hAnsi="Wingdings"/>
      </w:rPr>
    </w:lvl>
  </w:abstractNum>
  <w:abstractNum w:abstractNumId="7">
    <w:nsid w:val="5B4C2EB8"/>
    <w:multiLevelType w:val="singleLevel"/>
    <w:tmpl w:val="5B4C2EB8"/>
    <w:lvl w:ilvl="0" w:tentative="0">
      <w:start w:val="1"/>
      <w:numFmt w:val="bullet"/>
      <w:lvlText w:val=""/>
      <w:lvlJc w:val="left"/>
      <w:pPr>
        <w:ind w:left="420" w:hanging="420"/>
      </w:pPr>
      <w:rPr>
        <w:rFonts w:hint="default" w:ascii="Wingdings" w:hAnsi="Wingdings"/>
      </w:rPr>
    </w:lvl>
  </w:abstractNum>
  <w:abstractNum w:abstractNumId="8">
    <w:nsid w:val="70146DC0"/>
    <w:multiLevelType w:val="multilevel"/>
    <w:tmpl w:val="70146DC0"/>
    <w:lvl w:ilvl="0" w:tentative="0">
      <w:start w:val="1"/>
      <w:numFmt w:val="bullet"/>
      <w:pStyle w:val="58"/>
      <w:lvlText w:val=""/>
      <w:lvlJc w:val="left"/>
      <w:pPr>
        <w:tabs>
          <w:tab w:val="left" w:pos="2039"/>
        </w:tabs>
        <w:ind w:left="2039" w:hanging="360"/>
      </w:pPr>
      <w:rPr>
        <w:rFonts w:hint="default" w:ascii="Symbol" w:hAnsi="Symbol"/>
        <w:b/>
        <w:i w:val="0"/>
        <w:color w:val="auto"/>
        <w:sz w:val="22"/>
      </w:rPr>
    </w:lvl>
    <w:lvl w:ilvl="1" w:tentative="0">
      <w:start w:val="1"/>
      <w:numFmt w:val="bullet"/>
      <w:lvlText w:val="o"/>
      <w:lvlJc w:val="left"/>
      <w:pPr>
        <w:tabs>
          <w:tab w:val="left" w:pos="1860"/>
        </w:tabs>
        <w:ind w:left="1860" w:hanging="360"/>
      </w:pPr>
      <w:rPr>
        <w:rFonts w:hint="default" w:ascii="Courier New" w:hAnsi="Courier New" w:cs="Courier New"/>
      </w:rPr>
    </w:lvl>
    <w:lvl w:ilvl="2" w:tentative="0">
      <w:start w:val="1"/>
      <w:numFmt w:val="bullet"/>
      <w:lvlText w:val=""/>
      <w:lvlJc w:val="left"/>
      <w:pPr>
        <w:tabs>
          <w:tab w:val="left" w:pos="2580"/>
        </w:tabs>
        <w:ind w:left="2580" w:hanging="360"/>
      </w:pPr>
      <w:rPr>
        <w:rFonts w:hint="default" w:ascii="Wingdings" w:hAnsi="Wingdings"/>
      </w:rPr>
    </w:lvl>
    <w:lvl w:ilvl="3" w:tentative="0">
      <w:start w:val="1"/>
      <w:numFmt w:val="bullet"/>
      <w:lvlText w:val=""/>
      <w:lvlJc w:val="left"/>
      <w:pPr>
        <w:tabs>
          <w:tab w:val="left" w:pos="3300"/>
        </w:tabs>
        <w:ind w:left="3300" w:hanging="360"/>
      </w:pPr>
      <w:rPr>
        <w:rFonts w:hint="default" w:ascii="Symbol" w:hAnsi="Symbol"/>
      </w:rPr>
    </w:lvl>
    <w:lvl w:ilvl="4" w:tentative="0">
      <w:start w:val="1"/>
      <w:numFmt w:val="bullet"/>
      <w:lvlText w:val="o"/>
      <w:lvlJc w:val="left"/>
      <w:pPr>
        <w:tabs>
          <w:tab w:val="left" w:pos="4020"/>
        </w:tabs>
        <w:ind w:left="4020" w:hanging="360"/>
      </w:pPr>
      <w:rPr>
        <w:rFonts w:hint="default" w:ascii="Courier New" w:hAnsi="Courier New" w:cs="Courier New"/>
      </w:rPr>
    </w:lvl>
    <w:lvl w:ilvl="5" w:tentative="0">
      <w:start w:val="1"/>
      <w:numFmt w:val="bullet"/>
      <w:lvlText w:val=""/>
      <w:lvlJc w:val="left"/>
      <w:pPr>
        <w:tabs>
          <w:tab w:val="left" w:pos="4740"/>
        </w:tabs>
        <w:ind w:left="4740" w:hanging="360"/>
      </w:pPr>
      <w:rPr>
        <w:rFonts w:hint="default" w:ascii="Wingdings" w:hAnsi="Wingdings"/>
      </w:rPr>
    </w:lvl>
    <w:lvl w:ilvl="6" w:tentative="0">
      <w:start w:val="1"/>
      <w:numFmt w:val="bullet"/>
      <w:lvlText w:val=""/>
      <w:lvlJc w:val="left"/>
      <w:pPr>
        <w:tabs>
          <w:tab w:val="left" w:pos="5460"/>
        </w:tabs>
        <w:ind w:left="5460" w:hanging="360"/>
      </w:pPr>
      <w:rPr>
        <w:rFonts w:hint="default" w:ascii="Symbol" w:hAnsi="Symbol"/>
      </w:rPr>
    </w:lvl>
    <w:lvl w:ilvl="7" w:tentative="0">
      <w:start w:val="1"/>
      <w:numFmt w:val="bullet"/>
      <w:lvlText w:val="o"/>
      <w:lvlJc w:val="left"/>
      <w:pPr>
        <w:tabs>
          <w:tab w:val="left" w:pos="6180"/>
        </w:tabs>
        <w:ind w:left="6180" w:hanging="360"/>
      </w:pPr>
      <w:rPr>
        <w:rFonts w:hint="default" w:ascii="Courier New" w:hAnsi="Courier New" w:cs="Courier New"/>
      </w:rPr>
    </w:lvl>
    <w:lvl w:ilvl="8" w:tentative="0">
      <w:start w:val="1"/>
      <w:numFmt w:val="bullet"/>
      <w:lvlText w:val=""/>
      <w:lvlJc w:val="left"/>
      <w:pPr>
        <w:tabs>
          <w:tab w:val="left" w:pos="6900"/>
        </w:tabs>
        <w:ind w:left="6900" w:hanging="360"/>
      </w:pPr>
      <w:rPr>
        <w:rFonts w:hint="default" w:ascii="Wingdings" w:hAnsi="Wingdings"/>
      </w:rPr>
    </w:lvl>
  </w:abstractNum>
  <w:abstractNum w:abstractNumId="9">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2"/>
  </w:num>
  <w:num w:numId="2">
    <w:abstractNumId w:val="8"/>
  </w:num>
  <w:num w:numId="3">
    <w:abstractNumId w:val="5"/>
  </w:num>
  <w:num w:numId="4">
    <w:abstractNumId w:val="9"/>
  </w:num>
  <w:num w:numId="5">
    <w:abstractNumId w:val="7"/>
  </w:num>
  <w:num w:numId="6">
    <w:abstractNumId w:val="0"/>
  </w:num>
  <w:num w:numId="7">
    <w:abstractNumId w:val="3"/>
  </w:num>
  <w:num w:numId="8">
    <w:abstractNumId w:val="1"/>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MLM0szQ1MjY0sDQwtDRQ0lEKTi0uzszPAykwrAUAx/xsZCwAAAA="/>
    <w:docVar w:name="commondata" w:val="eyJoZGlkIjoiYTZkZWNlYTA0MDg2ZTc3NmRlNDJmOGU5YjFkMTIzYmYifQ=="/>
  </w:docVars>
  <w:rsids>
    <w:rsidRoot w:val="00172A27"/>
    <w:rsid w:val="00070686"/>
    <w:rsid w:val="00074C5E"/>
    <w:rsid w:val="00172A27"/>
    <w:rsid w:val="001D2C3E"/>
    <w:rsid w:val="002F2773"/>
    <w:rsid w:val="00327893"/>
    <w:rsid w:val="00391DA1"/>
    <w:rsid w:val="003D0404"/>
    <w:rsid w:val="0043145D"/>
    <w:rsid w:val="00455276"/>
    <w:rsid w:val="00526E9D"/>
    <w:rsid w:val="0056591F"/>
    <w:rsid w:val="005C34E1"/>
    <w:rsid w:val="00680B0A"/>
    <w:rsid w:val="007109E6"/>
    <w:rsid w:val="00747CF4"/>
    <w:rsid w:val="007E2DA4"/>
    <w:rsid w:val="00801DCF"/>
    <w:rsid w:val="00867DE5"/>
    <w:rsid w:val="00872B5B"/>
    <w:rsid w:val="008B1CC1"/>
    <w:rsid w:val="00A3450B"/>
    <w:rsid w:val="00AD5960"/>
    <w:rsid w:val="00B36A82"/>
    <w:rsid w:val="00B46564"/>
    <w:rsid w:val="00B634B7"/>
    <w:rsid w:val="00B85346"/>
    <w:rsid w:val="00BC6118"/>
    <w:rsid w:val="00BE19BF"/>
    <w:rsid w:val="00CB77BE"/>
    <w:rsid w:val="00D02949"/>
    <w:rsid w:val="00D23614"/>
    <w:rsid w:val="00DE1EC0"/>
    <w:rsid w:val="00DF649C"/>
    <w:rsid w:val="00E65CB5"/>
    <w:rsid w:val="00F929A3"/>
    <w:rsid w:val="00FC66A5"/>
    <w:rsid w:val="010E1D4D"/>
    <w:rsid w:val="01330893"/>
    <w:rsid w:val="01B12E58"/>
    <w:rsid w:val="01C371DA"/>
    <w:rsid w:val="020411DA"/>
    <w:rsid w:val="022C260F"/>
    <w:rsid w:val="031B28AD"/>
    <w:rsid w:val="034877EC"/>
    <w:rsid w:val="034E4A60"/>
    <w:rsid w:val="03DD6AF5"/>
    <w:rsid w:val="047162D4"/>
    <w:rsid w:val="049F168E"/>
    <w:rsid w:val="04BD145A"/>
    <w:rsid w:val="04E00808"/>
    <w:rsid w:val="055E50A5"/>
    <w:rsid w:val="0568310D"/>
    <w:rsid w:val="05720F2C"/>
    <w:rsid w:val="05756793"/>
    <w:rsid w:val="058E3614"/>
    <w:rsid w:val="05A47ACE"/>
    <w:rsid w:val="05B2754B"/>
    <w:rsid w:val="05BB24F7"/>
    <w:rsid w:val="05C04E1F"/>
    <w:rsid w:val="05D76C05"/>
    <w:rsid w:val="06897EFF"/>
    <w:rsid w:val="072D40F1"/>
    <w:rsid w:val="074D2750"/>
    <w:rsid w:val="07522471"/>
    <w:rsid w:val="07FE2B1F"/>
    <w:rsid w:val="08B2294B"/>
    <w:rsid w:val="08FC1348"/>
    <w:rsid w:val="092A7ACA"/>
    <w:rsid w:val="09452F63"/>
    <w:rsid w:val="09680EB8"/>
    <w:rsid w:val="09ED2CA5"/>
    <w:rsid w:val="0A067E6E"/>
    <w:rsid w:val="0A481A1C"/>
    <w:rsid w:val="0AC7123A"/>
    <w:rsid w:val="0AE314B1"/>
    <w:rsid w:val="0AEC2FE8"/>
    <w:rsid w:val="0B260413"/>
    <w:rsid w:val="0B85422D"/>
    <w:rsid w:val="0B9C06D5"/>
    <w:rsid w:val="0BAD139F"/>
    <w:rsid w:val="0BB62E8D"/>
    <w:rsid w:val="0C110567"/>
    <w:rsid w:val="0C397531"/>
    <w:rsid w:val="0C470E4F"/>
    <w:rsid w:val="0C812E6D"/>
    <w:rsid w:val="0C9E047D"/>
    <w:rsid w:val="0D733868"/>
    <w:rsid w:val="0D9546F5"/>
    <w:rsid w:val="0DD51C7C"/>
    <w:rsid w:val="0DD65942"/>
    <w:rsid w:val="0DEA753C"/>
    <w:rsid w:val="0DF57134"/>
    <w:rsid w:val="0E4A6F14"/>
    <w:rsid w:val="0E540AE8"/>
    <w:rsid w:val="0E762255"/>
    <w:rsid w:val="0ED3362B"/>
    <w:rsid w:val="0EF50B08"/>
    <w:rsid w:val="0F1007F7"/>
    <w:rsid w:val="0F491DCF"/>
    <w:rsid w:val="0F672DA8"/>
    <w:rsid w:val="0F6D5043"/>
    <w:rsid w:val="0F723A91"/>
    <w:rsid w:val="10924438"/>
    <w:rsid w:val="10E32902"/>
    <w:rsid w:val="1109680C"/>
    <w:rsid w:val="118934A9"/>
    <w:rsid w:val="11DF6823"/>
    <w:rsid w:val="11FC4B10"/>
    <w:rsid w:val="121758CF"/>
    <w:rsid w:val="1282108C"/>
    <w:rsid w:val="12D167AA"/>
    <w:rsid w:val="130D0D24"/>
    <w:rsid w:val="13326CC5"/>
    <w:rsid w:val="13826402"/>
    <w:rsid w:val="1384217A"/>
    <w:rsid w:val="13A42136"/>
    <w:rsid w:val="14232166"/>
    <w:rsid w:val="14C710A8"/>
    <w:rsid w:val="14CD7B51"/>
    <w:rsid w:val="150B58AE"/>
    <w:rsid w:val="151A266A"/>
    <w:rsid w:val="15CB5DD3"/>
    <w:rsid w:val="160067D9"/>
    <w:rsid w:val="160846A5"/>
    <w:rsid w:val="16161084"/>
    <w:rsid w:val="161A4308"/>
    <w:rsid w:val="163254BE"/>
    <w:rsid w:val="165F5FD9"/>
    <w:rsid w:val="16D13B64"/>
    <w:rsid w:val="16E04FC6"/>
    <w:rsid w:val="1725740C"/>
    <w:rsid w:val="17470EF1"/>
    <w:rsid w:val="1776514E"/>
    <w:rsid w:val="17CB192C"/>
    <w:rsid w:val="17FC2567"/>
    <w:rsid w:val="18356139"/>
    <w:rsid w:val="188B110E"/>
    <w:rsid w:val="18910936"/>
    <w:rsid w:val="18B03A11"/>
    <w:rsid w:val="18C221F9"/>
    <w:rsid w:val="18CD08A1"/>
    <w:rsid w:val="19014CAF"/>
    <w:rsid w:val="193D7353"/>
    <w:rsid w:val="197462BA"/>
    <w:rsid w:val="199F6F5F"/>
    <w:rsid w:val="19AE61A3"/>
    <w:rsid w:val="1A28231A"/>
    <w:rsid w:val="1A4E237A"/>
    <w:rsid w:val="1ABD4A01"/>
    <w:rsid w:val="1B267FBB"/>
    <w:rsid w:val="1BBF1850"/>
    <w:rsid w:val="1C047A3E"/>
    <w:rsid w:val="1C1804EA"/>
    <w:rsid w:val="1C2300FB"/>
    <w:rsid w:val="1C9A2F02"/>
    <w:rsid w:val="1CDB4C0A"/>
    <w:rsid w:val="1CE43C8A"/>
    <w:rsid w:val="1D745AA6"/>
    <w:rsid w:val="1E1A2095"/>
    <w:rsid w:val="1E2E78B2"/>
    <w:rsid w:val="1E3A680D"/>
    <w:rsid w:val="1E48054C"/>
    <w:rsid w:val="1E4C42FA"/>
    <w:rsid w:val="1E5A11E8"/>
    <w:rsid w:val="1EAC1325"/>
    <w:rsid w:val="1EE00915"/>
    <w:rsid w:val="1F4F5F36"/>
    <w:rsid w:val="1F606D74"/>
    <w:rsid w:val="1F833B28"/>
    <w:rsid w:val="20085EE1"/>
    <w:rsid w:val="205F59D0"/>
    <w:rsid w:val="20931D81"/>
    <w:rsid w:val="20CE6D52"/>
    <w:rsid w:val="20E24984"/>
    <w:rsid w:val="20EF2BFD"/>
    <w:rsid w:val="219805DB"/>
    <w:rsid w:val="21AE2EDA"/>
    <w:rsid w:val="221D1D08"/>
    <w:rsid w:val="224551CB"/>
    <w:rsid w:val="229C5AE9"/>
    <w:rsid w:val="233203DD"/>
    <w:rsid w:val="2342170A"/>
    <w:rsid w:val="234D23FA"/>
    <w:rsid w:val="246622C5"/>
    <w:rsid w:val="25B957D2"/>
    <w:rsid w:val="25D60CFE"/>
    <w:rsid w:val="260F1B38"/>
    <w:rsid w:val="261B4D32"/>
    <w:rsid w:val="2661459D"/>
    <w:rsid w:val="26777D2F"/>
    <w:rsid w:val="26A87F18"/>
    <w:rsid w:val="26FF2956"/>
    <w:rsid w:val="271E1505"/>
    <w:rsid w:val="273F3B6A"/>
    <w:rsid w:val="274E0EEF"/>
    <w:rsid w:val="279369D8"/>
    <w:rsid w:val="27D642D6"/>
    <w:rsid w:val="27FC2BB9"/>
    <w:rsid w:val="280D6C9B"/>
    <w:rsid w:val="291805BC"/>
    <w:rsid w:val="2944442E"/>
    <w:rsid w:val="297974EE"/>
    <w:rsid w:val="29B34A3B"/>
    <w:rsid w:val="2A590434"/>
    <w:rsid w:val="2A8645D2"/>
    <w:rsid w:val="2AF479DB"/>
    <w:rsid w:val="2B017AE4"/>
    <w:rsid w:val="2B1C0A93"/>
    <w:rsid w:val="2B1E480B"/>
    <w:rsid w:val="2B4C75CA"/>
    <w:rsid w:val="2B5B780D"/>
    <w:rsid w:val="2BD42BB5"/>
    <w:rsid w:val="2BE37795"/>
    <w:rsid w:val="2C7F5656"/>
    <w:rsid w:val="2CBF3DCB"/>
    <w:rsid w:val="2D0871C8"/>
    <w:rsid w:val="2D804734"/>
    <w:rsid w:val="2DC55411"/>
    <w:rsid w:val="2F885129"/>
    <w:rsid w:val="2FA71273"/>
    <w:rsid w:val="2FC46822"/>
    <w:rsid w:val="2FCD67FF"/>
    <w:rsid w:val="303B772F"/>
    <w:rsid w:val="31696757"/>
    <w:rsid w:val="31DE1D58"/>
    <w:rsid w:val="321F68F6"/>
    <w:rsid w:val="32741B27"/>
    <w:rsid w:val="32A824A4"/>
    <w:rsid w:val="32B819E9"/>
    <w:rsid w:val="32F103D0"/>
    <w:rsid w:val="331210F9"/>
    <w:rsid w:val="33185FE3"/>
    <w:rsid w:val="331B468F"/>
    <w:rsid w:val="334F5FA3"/>
    <w:rsid w:val="335229B5"/>
    <w:rsid w:val="338D6342"/>
    <w:rsid w:val="33B8055B"/>
    <w:rsid w:val="340824FC"/>
    <w:rsid w:val="34214AFA"/>
    <w:rsid w:val="34F46CC2"/>
    <w:rsid w:val="34F9242A"/>
    <w:rsid w:val="353A3B9A"/>
    <w:rsid w:val="353D648E"/>
    <w:rsid w:val="35584DBD"/>
    <w:rsid w:val="35834C4F"/>
    <w:rsid w:val="35B5220F"/>
    <w:rsid w:val="35F033B2"/>
    <w:rsid w:val="36556989"/>
    <w:rsid w:val="365F25F1"/>
    <w:rsid w:val="36633A19"/>
    <w:rsid w:val="367B459C"/>
    <w:rsid w:val="36B02E3E"/>
    <w:rsid w:val="36DE12F2"/>
    <w:rsid w:val="37871C5F"/>
    <w:rsid w:val="37DF5322"/>
    <w:rsid w:val="38C14F85"/>
    <w:rsid w:val="38D95C84"/>
    <w:rsid w:val="395152B1"/>
    <w:rsid w:val="396B17C1"/>
    <w:rsid w:val="39C7397A"/>
    <w:rsid w:val="39C922D2"/>
    <w:rsid w:val="3A0E3D7F"/>
    <w:rsid w:val="3A1B148B"/>
    <w:rsid w:val="3AC96BFA"/>
    <w:rsid w:val="3B0B0E31"/>
    <w:rsid w:val="3B90705F"/>
    <w:rsid w:val="3BA42B0A"/>
    <w:rsid w:val="3C5E1386"/>
    <w:rsid w:val="3C6A376B"/>
    <w:rsid w:val="3C9C7C85"/>
    <w:rsid w:val="3CAD3871"/>
    <w:rsid w:val="3D0E6612"/>
    <w:rsid w:val="3D794C69"/>
    <w:rsid w:val="3E247F32"/>
    <w:rsid w:val="3E4459B8"/>
    <w:rsid w:val="3E9926CE"/>
    <w:rsid w:val="3EED0255"/>
    <w:rsid w:val="3F010273"/>
    <w:rsid w:val="3F177A97"/>
    <w:rsid w:val="3F2B6D25"/>
    <w:rsid w:val="3F6658E6"/>
    <w:rsid w:val="3F695BF8"/>
    <w:rsid w:val="3F6F6A24"/>
    <w:rsid w:val="3FD80FD4"/>
    <w:rsid w:val="3FF50ECF"/>
    <w:rsid w:val="40E57C57"/>
    <w:rsid w:val="40FE523C"/>
    <w:rsid w:val="410C5707"/>
    <w:rsid w:val="42365619"/>
    <w:rsid w:val="42A539CE"/>
    <w:rsid w:val="42CC4813"/>
    <w:rsid w:val="43122A4F"/>
    <w:rsid w:val="434D4C01"/>
    <w:rsid w:val="435C04A2"/>
    <w:rsid w:val="43E11412"/>
    <w:rsid w:val="43FC748C"/>
    <w:rsid w:val="440525B4"/>
    <w:rsid w:val="44093E52"/>
    <w:rsid w:val="446F1C68"/>
    <w:rsid w:val="45264590"/>
    <w:rsid w:val="45961716"/>
    <w:rsid w:val="45A35BE1"/>
    <w:rsid w:val="460F14C8"/>
    <w:rsid w:val="46C61D41"/>
    <w:rsid w:val="47150D60"/>
    <w:rsid w:val="471748B1"/>
    <w:rsid w:val="477E6B3A"/>
    <w:rsid w:val="47943CC6"/>
    <w:rsid w:val="47B42CE1"/>
    <w:rsid w:val="48053ACE"/>
    <w:rsid w:val="480A1F47"/>
    <w:rsid w:val="48147269"/>
    <w:rsid w:val="483D1D78"/>
    <w:rsid w:val="48517B76"/>
    <w:rsid w:val="487E765D"/>
    <w:rsid w:val="492522E2"/>
    <w:rsid w:val="49380D36"/>
    <w:rsid w:val="49CE695A"/>
    <w:rsid w:val="4AE66BEE"/>
    <w:rsid w:val="4AF131EF"/>
    <w:rsid w:val="4AF40C8C"/>
    <w:rsid w:val="4B407715"/>
    <w:rsid w:val="4B887194"/>
    <w:rsid w:val="4BA83F51"/>
    <w:rsid w:val="4BBB7216"/>
    <w:rsid w:val="4C6A7458"/>
    <w:rsid w:val="4C813C70"/>
    <w:rsid w:val="4C84212F"/>
    <w:rsid w:val="4CA236C3"/>
    <w:rsid w:val="4D096C71"/>
    <w:rsid w:val="4D950505"/>
    <w:rsid w:val="4DA154D9"/>
    <w:rsid w:val="4DAB7D28"/>
    <w:rsid w:val="4E12758F"/>
    <w:rsid w:val="4E214286"/>
    <w:rsid w:val="4E217356"/>
    <w:rsid w:val="4E33426F"/>
    <w:rsid w:val="4E4A5793"/>
    <w:rsid w:val="4E8862BB"/>
    <w:rsid w:val="4F0155EE"/>
    <w:rsid w:val="4F452E71"/>
    <w:rsid w:val="4F5947DB"/>
    <w:rsid w:val="4F6A7329"/>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5604E0"/>
    <w:rsid w:val="517448D5"/>
    <w:rsid w:val="518C7E71"/>
    <w:rsid w:val="519A2708"/>
    <w:rsid w:val="51F103B2"/>
    <w:rsid w:val="520C50B4"/>
    <w:rsid w:val="521F0CE5"/>
    <w:rsid w:val="53185506"/>
    <w:rsid w:val="53B51932"/>
    <w:rsid w:val="54A24E32"/>
    <w:rsid w:val="55F650BF"/>
    <w:rsid w:val="561B7217"/>
    <w:rsid w:val="56FD00CF"/>
    <w:rsid w:val="57027519"/>
    <w:rsid w:val="572629E8"/>
    <w:rsid w:val="575C092A"/>
    <w:rsid w:val="577E7095"/>
    <w:rsid w:val="578C2978"/>
    <w:rsid w:val="57A646D9"/>
    <w:rsid w:val="57DD1426"/>
    <w:rsid w:val="583F5B16"/>
    <w:rsid w:val="5877685D"/>
    <w:rsid w:val="589A1FD6"/>
    <w:rsid w:val="59394663"/>
    <w:rsid w:val="59692459"/>
    <w:rsid w:val="59975605"/>
    <w:rsid w:val="59AA78C5"/>
    <w:rsid w:val="59B418C6"/>
    <w:rsid w:val="59C3464B"/>
    <w:rsid w:val="59FD045D"/>
    <w:rsid w:val="5A177BA2"/>
    <w:rsid w:val="5A1F15C9"/>
    <w:rsid w:val="5A6F20DD"/>
    <w:rsid w:val="5B1C5C72"/>
    <w:rsid w:val="5B404577"/>
    <w:rsid w:val="5B73375B"/>
    <w:rsid w:val="5BDE576D"/>
    <w:rsid w:val="5C1E4010"/>
    <w:rsid w:val="5C844822"/>
    <w:rsid w:val="5CBB16CF"/>
    <w:rsid w:val="5CBC3D00"/>
    <w:rsid w:val="5CC46711"/>
    <w:rsid w:val="5D0A091D"/>
    <w:rsid w:val="5D105DFA"/>
    <w:rsid w:val="5D4930BA"/>
    <w:rsid w:val="5D770C37"/>
    <w:rsid w:val="5DF57F28"/>
    <w:rsid w:val="5E24773B"/>
    <w:rsid w:val="5E3B3C08"/>
    <w:rsid w:val="5E800D5D"/>
    <w:rsid w:val="5EBD2AE3"/>
    <w:rsid w:val="5EEA61D6"/>
    <w:rsid w:val="5EEC63F2"/>
    <w:rsid w:val="5EF01530"/>
    <w:rsid w:val="5F1576F7"/>
    <w:rsid w:val="5FA041B9"/>
    <w:rsid w:val="5FBE4D46"/>
    <w:rsid w:val="60997EB4"/>
    <w:rsid w:val="611963CD"/>
    <w:rsid w:val="616E573B"/>
    <w:rsid w:val="62B92A90"/>
    <w:rsid w:val="62E34874"/>
    <w:rsid w:val="62E8147A"/>
    <w:rsid w:val="630B132E"/>
    <w:rsid w:val="634A321E"/>
    <w:rsid w:val="639062F6"/>
    <w:rsid w:val="63C06196"/>
    <w:rsid w:val="63DD0CDE"/>
    <w:rsid w:val="64147AC3"/>
    <w:rsid w:val="64201F2E"/>
    <w:rsid w:val="64312291"/>
    <w:rsid w:val="64322AF9"/>
    <w:rsid w:val="647B323D"/>
    <w:rsid w:val="649C3D0A"/>
    <w:rsid w:val="64CD637E"/>
    <w:rsid w:val="653B5642"/>
    <w:rsid w:val="654C28BC"/>
    <w:rsid w:val="65A840EC"/>
    <w:rsid w:val="65B92402"/>
    <w:rsid w:val="65C06F7D"/>
    <w:rsid w:val="65F358C4"/>
    <w:rsid w:val="66884C53"/>
    <w:rsid w:val="66E77BCB"/>
    <w:rsid w:val="67645183"/>
    <w:rsid w:val="679C60E3"/>
    <w:rsid w:val="683A590B"/>
    <w:rsid w:val="683A5F02"/>
    <w:rsid w:val="6845574B"/>
    <w:rsid w:val="685376AF"/>
    <w:rsid w:val="68F57755"/>
    <w:rsid w:val="695F47F3"/>
    <w:rsid w:val="696A6892"/>
    <w:rsid w:val="69CA7330"/>
    <w:rsid w:val="69F148BD"/>
    <w:rsid w:val="6A3B5FBD"/>
    <w:rsid w:val="6A497336"/>
    <w:rsid w:val="6B3C6A30"/>
    <w:rsid w:val="6B8F25DF"/>
    <w:rsid w:val="6C7D4B2E"/>
    <w:rsid w:val="6CB06CB1"/>
    <w:rsid w:val="6CEB5ACA"/>
    <w:rsid w:val="6DBB3B60"/>
    <w:rsid w:val="6E6C7C05"/>
    <w:rsid w:val="6F130492"/>
    <w:rsid w:val="6F2B2544"/>
    <w:rsid w:val="6F4060E9"/>
    <w:rsid w:val="70492EF7"/>
    <w:rsid w:val="706B5A59"/>
    <w:rsid w:val="70A04FBC"/>
    <w:rsid w:val="70A76134"/>
    <w:rsid w:val="70BD3D49"/>
    <w:rsid w:val="71D90A58"/>
    <w:rsid w:val="72041505"/>
    <w:rsid w:val="72317325"/>
    <w:rsid w:val="726E73F3"/>
    <w:rsid w:val="72872262"/>
    <w:rsid w:val="72A863A1"/>
    <w:rsid w:val="73403ED7"/>
    <w:rsid w:val="740946D6"/>
    <w:rsid w:val="740B2A1F"/>
    <w:rsid w:val="740D49E9"/>
    <w:rsid w:val="74566E86"/>
    <w:rsid w:val="745A5137"/>
    <w:rsid w:val="754B7177"/>
    <w:rsid w:val="75631CAE"/>
    <w:rsid w:val="75E11C8A"/>
    <w:rsid w:val="76462308"/>
    <w:rsid w:val="772665FC"/>
    <w:rsid w:val="772B48E7"/>
    <w:rsid w:val="775F740B"/>
    <w:rsid w:val="77CD6E56"/>
    <w:rsid w:val="785C7CED"/>
    <w:rsid w:val="78610694"/>
    <w:rsid w:val="788A13BF"/>
    <w:rsid w:val="78A377B2"/>
    <w:rsid w:val="793A002E"/>
    <w:rsid w:val="79404F19"/>
    <w:rsid w:val="797C2D3C"/>
    <w:rsid w:val="79C35626"/>
    <w:rsid w:val="79E42D9A"/>
    <w:rsid w:val="7A314C2F"/>
    <w:rsid w:val="7A3727C0"/>
    <w:rsid w:val="7AAD7251"/>
    <w:rsid w:val="7ABC00E2"/>
    <w:rsid w:val="7B0074FE"/>
    <w:rsid w:val="7B061127"/>
    <w:rsid w:val="7B503B8C"/>
    <w:rsid w:val="7B727157"/>
    <w:rsid w:val="7B8437E3"/>
    <w:rsid w:val="7BD64713"/>
    <w:rsid w:val="7BD80171"/>
    <w:rsid w:val="7BDB223D"/>
    <w:rsid w:val="7C081A90"/>
    <w:rsid w:val="7C0B3F04"/>
    <w:rsid w:val="7C2571BC"/>
    <w:rsid w:val="7C9E5DD3"/>
    <w:rsid w:val="7CA15039"/>
    <w:rsid w:val="7CD54AA1"/>
    <w:rsid w:val="7D240BEB"/>
    <w:rsid w:val="7D8D41BC"/>
    <w:rsid w:val="7E5E656D"/>
    <w:rsid w:val="7E6E42D6"/>
    <w:rsid w:val="7E894D3F"/>
    <w:rsid w:val="7EA146AC"/>
    <w:rsid w:val="7F563156"/>
    <w:rsid w:val="7F6C60CE"/>
    <w:rsid w:val="7F912972"/>
    <w:rsid w:val="7FB77AFD"/>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33"/>
    <w:autoRedefine/>
    <w:unhideWhenUsed/>
    <w:qFormat/>
    <w:uiPriority w:val="9"/>
    <w:pPr>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34"/>
    <w:autoRedefine/>
    <w:unhideWhenUsed/>
    <w:qFormat/>
    <w:uiPriority w:val="9"/>
    <w:pPr>
      <w:numPr>
        <w:ilvl w:val="2"/>
      </w:numPr>
      <w:outlineLvl w:val="2"/>
    </w:pPr>
    <w:rPr>
      <w:sz w:val="32"/>
    </w:rPr>
  </w:style>
  <w:style w:type="paragraph" w:styleId="5">
    <w:name w:val="heading 4"/>
    <w:basedOn w:val="4"/>
    <w:next w:val="1"/>
    <w:link w:val="39"/>
    <w:autoRedefine/>
    <w:qFormat/>
    <w:uiPriority w:val="0"/>
    <w:pPr>
      <w:numPr>
        <w:ilvl w:val="3"/>
      </w:numPr>
      <w:spacing w:before="240" w:after="60"/>
      <w:jc w:val="left"/>
      <w:outlineLvl w:val="3"/>
    </w:pPr>
    <w:rPr>
      <w:rFonts w:ascii="Times New Roman" w:hAnsi="Times New Roman" w:eastAsia="MS Mincho" w:cs="Times New Roman"/>
      <w:sz w:val="28"/>
      <w:szCs w:val="28"/>
    </w:rPr>
  </w:style>
  <w:style w:type="paragraph" w:styleId="6">
    <w:name w:val="heading 5"/>
    <w:basedOn w:val="5"/>
    <w:next w:val="1"/>
    <w:link w:val="40"/>
    <w:autoRedefine/>
    <w:qFormat/>
    <w:uiPriority w:val="0"/>
    <w:pPr>
      <w:numPr>
        <w:ilvl w:val="4"/>
      </w:numPr>
      <w:spacing w:before="280" w:after="290" w:line="376" w:lineRule="auto"/>
      <w:outlineLvl w:val="4"/>
    </w:pPr>
    <w:rPr>
      <w:rFonts w:eastAsia="Times New Roman"/>
    </w:rPr>
  </w:style>
  <w:style w:type="paragraph" w:styleId="7">
    <w:name w:val="heading 6"/>
    <w:basedOn w:val="1"/>
    <w:next w:val="1"/>
    <w:link w:val="41"/>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42"/>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43"/>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4"/>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50"/>
    <w:autoRedefine/>
    <w:semiHidden/>
    <w:unhideWhenUsed/>
    <w:qFormat/>
    <w:uiPriority w:val="99"/>
    <w:pPr>
      <w:jc w:val="left"/>
    </w:pPr>
  </w:style>
  <w:style w:type="paragraph" w:styleId="13">
    <w:name w:val="Body Text"/>
    <w:basedOn w:val="1"/>
    <w:link w:val="27"/>
    <w:autoRedefine/>
    <w:qFormat/>
    <w:uiPriority w:val="0"/>
    <w:pPr>
      <w:adjustRightInd w:val="0"/>
      <w:snapToGrid w:val="0"/>
      <w:spacing w:line="360" w:lineRule="auto"/>
      <w:ind w:firstLine="420"/>
    </w:pPr>
    <w:rPr>
      <w:rFonts w:eastAsia="楷体"/>
      <w:snapToGrid w:val="0"/>
    </w:rPr>
  </w:style>
  <w:style w:type="paragraph" w:styleId="14">
    <w:name w:val="Balloon Text"/>
    <w:basedOn w:val="1"/>
    <w:link w:val="52"/>
    <w:autoRedefine/>
    <w:semiHidden/>
    <w:unhideWhenUsed/>
    <w:qFormat/>
    <w:uiPriority w:val="99"/>
    <w:rPr>
      <w:sz w:val="18"/>
      <w:szCs w:val="18"/>
    </w:rPr>
  </w:style>
  <w:style w:type="paragraph" w:styleId="15">
    <w:name w:val="footer"/>
    <w:basedOn w:val="1"/>
    <w:link w:val="49"/>
    <w:autoRedefine/>
    <w:unhideWhenUsed/>
    <w:qFormat/>
    <w:uiPriority w:val="99"/>
    <w:pPr>
      <w:tabs>
        <w:tab w:val="center" w:pos="4153"/>
        <w:tab w:val="right" w:pos="8306"/>
      </w:tabs>
      <w:snapToGrid w:val="0"/>
      <w:jc w:val="left"/>
    </w:pPr>
    <w:rPr>
      <w:sz w:val="18"/>
      <w:szCs w:val="18"/>
    </w:rPr>
  </w:style>
  <w:style w:type="paragraph" w:styleId="16">
    <w:name w:val="header"/>
    <w:basedOn w:val="1"/>
    <w:link w:val="4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19">
    <w:name w:val="annotation subject"/>
    <w:basedOn w:val="12"/>
    <w:next w:val="12"/>
    <w:link w:val="51"/>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FollowedHyperlink"/>
    <w:basedOn w:val="22"/>
    <w:qFormat/>
    <w:uiPriority w:val="0"/>
    <w:rPr>
      <w:color w:val="800080"/>
      <w:u w:val="single"/>
    </w:rPr>
  </w:style>
  <w:style w:type="character" w:styleId="25">
    <w:name w:val="Emphasis"/>
    <w:basedOn w:val="22"/>
    <w:qFormat/>
    <w:uiPriority w:val="20"/>
    <w:rPr>
      <w:i/>
    </w:rPr>
  </w:style>
  <w:style w:type="character" w:styleId="26">
    <w:name w:val="Hyperlink"/>
    <w:basedOn w:val="27"/>
    <w:qFormat/>
    <w:uiPriority w:val="0"/>
    <w:rPr>
      <w:rFonts w:eastAsia="楷体"/>
      <w:snapToGrid w:val="0"/>
      <w:color w:val="5B9BD5" w:themeColor="accent1"/>
      <w14:textFill>
        <w14:solidFill>
          <w14:schemeClr w14:val="accent1"/>
        </w14:solidFill>
      </w14:textFill>
    </w:rPr>
  </w:style>
  <w:style w:type="character" w:customStyle="1" w:styleId="27">
    <w:name w:val="正文文本 字符"/>
    <w:basedOn w:val="22"/>
    <w:link w:val="13"/>
    <w:qFormat/>
    <w:uiPriority w:val="0"/>
    <w:rPr>
      <w:rFonts w:eastAsia="楷体"/>
      <w:snapToGrid w:val="0"/>
    </w:rPr>
  </w:style>
  <w:style w:type="character" w:styleId="28">
    <w:name w:val="annotation reference"/>
    <w:basedOn w:val="22"/>
    <w:autoRedefine/>
    <w:unhideWhenUsed/>
    <w:qFormat/>
    <w:uiPriority w:val="99"/>
    <w:rPr>
      <w:sz w:val="16"/>
      <w:szCs w:val="16"/>
    </w:rPr>
  </w:style>
  <w:style w:type="paragraph" w:customStyle="1" w:styleId="29">
    <w:name w:val="Doc-title"/>
    <w:basedOn w:val="1"/>
    <w:next w:val="30"/>
    <w:autoRedefine/>
    <w:qFormat/>
    <w:uiPriority w:val="0"/>
    <w:pPr>
      <w:spacing w:before="60"/>
      <w:ind w:left="1259" w:hanging="1259"/>
    </w:pPr>
  </w:style>
  <w:style w:type="paragraph" w:customStyle="1" w:styleId="30">
    <w:name w:val="Doc-text2"/>
    <w:basedOn w:val="1"/>
    <w:autoRedefine/>
    <w:qFormat/>
    <w:uiPriority w:val="0"/>
    <w:pPr>
      <w:tabs>
        <w:tab w:val="left" w:pos="1622"/>
      </w:tabs>
      <w:ind w:left="1622" w:hanging="363"/>
    </w:pPr>
  </w:style>
  <w:style w:type="character" w:customStyle="1" w:styleId="31">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32">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3">
    <w:name w:val="标题 2 字符"/>
    <w:basedOn w:val="22"/>
    <w:link w:val="3"/>
    <w:autoRedefine/>
    <w:qFormat/>
    <w:uiPriority w:val="9"/>
    <w:rPr>
      <w:rFonts w:eastAsia="Times New Roman" w:asciiTheme="majorHAnsi" w:hAnsiTheme="majorHAnsi" w:cstheme="majorBidi"/>
      <w:b/>
      <w:bCs/>
      <w:sz w:val="18"/>
      <w:szCs w:val="32"/>
    </w:rPr>
  </w:style>
  <w:style w:type="character" w:customStyle="1" w:styleId="34">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5">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6">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7">
    <w:name w:val="List Paragraph"/>
    <w:basedOn w:val="1"/>
    <w:link w:val="38"/>
    <w:autoRedefine/>
    <w:qFormat/>
    <w:uiPriority w:val="34"/>
    <w:pPr>
      <w:widowControl/>
      <w:ind w:left="720"/>
      <w:jc w:val="left"/>
    </w:pPr>
    <w:rPr>
      <w:rFonts w:ascii="Calibri" w:hAnsi="Calibri" w:eastAsia="Calibri" w:cs="Times New Roman"/>
      <w:kern w:val="0"/>
      <w:sz w:val="22"/>
      <w:lang w:eastAsia="en-US"/>
    </w:rPr>
  </w:style>
  <w:style w:type="character" w:customStyle="1" w:styleId="38">
    <w:name w:val="列表段落 字符"/>
    <w:link w:val="37"/>
    <w:autoRedefine/>
    <w:qFormat/>
    <w:locked/>
    <w:uiPriority w:val="34"/>
    <w:rPr>
      <w:rFonts w:ascii="Calibri" w:hAnsi="Calibri" w:eastAsia="Calibri" w:cs="Times New Roman"/>
      <w:kern w:val="0"/>
      <w:sz w:val="22"/>
      <w:lang w:eastAsia="en-US"/>
    </w:rPr>
  </w:style>
  <w:style w:type="character" w:customStyle="1" w:styleId="39">
    <w:name w:val="标题 4 字符"/>
    <w:basedOn w:val="22"/>
    <w:link w:val="5"/>
    <w:autoRedefine/>
    <w:qFormat/>
    <w:uiPriority w:val="0"/>
    <w:rPr>
      <w:rFonts w:ascii="Times New Roman" w:hAnsi="Times New Roman" w:eastAsia="MS Mincho" w:cs="Times New Roman"/>
      <w:b/>
      <w:bCs/>
      <w:kern w:val="0"/>
      <w:sz w:val="28"/>
      <w:szCs w:val="28"/>
      <w:lang w:eastAsia="en-US"/>
    </w:rPr>
  </w:style>
  <w:style w:type="character" w:customStyle="1" w:styleId="40">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41">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42">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43">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4">
    <w:name w:val="标题 9 字符"/>
    <w:basedOn w:val="22"/>
    <w:link w:val="10"/>
    <w:autoRedefine/>
    <w:qFormat/>
    <w:uiPriority w:val="0"/>
    <w:rPr>
      <w:rFonts w:ascii="Arial" w:hAnsi="Arial" w:eastAsia="黑体" w:cs="Times New Roman"/>
      <w:kern w:val="0"/>
      <w:szCs w:val="21"/>
      <w:lang w:eastAsia="en-US"/>
    </w:rPr>
  </w:style>
  <w:style w:type="paragraph" w:customStyle="1" w:styleId="45">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6">
    <w:name w:val="B1"/>
    <w:basedOn w:val="17"/>
    <w:autoRedefine/>
    <w:qFormat/>
    <w:uiPriority w:val="0"/>
  </w:style>
  <w:style w:type="paragraph" w:customStyle="1" w:styleId="47">
    <w:name w:val="NO"/>
    <w:basedOn w:val="1"/>
    <w:autoRedefine/>
    <w:qFormat/>
    <w:uiPriority w:val="0"/>
    <w:pPr>
      <w:keepLines/>
      <w:ind w:left="1135" w:hanging="851"/>
    </w:pPr>
  </w:style>
  <w:style w:type="character" w:customStyle="1" w:styleId="48">
    <w:name w:val="页眉 字符"/>
    <w:basedOn w:val="22"/>
    <w:link w:val="16"/>
    <w:autoRedefine/>
    <w:qFormat/>
    <w:uiPriority w:val="99"/>
    <w:rPr>
      <w:rFonts w:asciiTheme="minorHAnsi" w:hAnsiTheme="minorHAnsi" w:eastAsiaTheme="minorEastAsia" w:cstheme="minorBidi"/>
      <w:kern w:val="2"/>
      <w:sz w:val="18"/>
      <w:szCs w:val="18"/>
    </w:rPr>
  </w:style>
  <w:style w:type="character" w:customStyle="1" w:styleId="49">
    <w:name w:val="页脚 字符"/>
    <w:basedOn w:val="22"/>
    <w:link w:val="15"/>
    <w:autoRedefine/>
    <w:qFormat/>
    <w:uiPriority w:val="99"/>
    <w:rPr>
      <w:rFonts w:asciiTheme="minorHAnsi" w:hAnsiTheme="minorHAnsi" w:eastAsiaTheme="minorEastAsia" w:cstheme="minorBidi"/>
      <w:kern w:val="2"/>
      <w:sz w:val="18"/>
      <w:szCs w:val="18"/>
    </w:rPr>
  </w:style>
  <w:style w:type="character" w:customStyle="1" w:styleId="50">
    <w:name w:val="批注文字 字符"/>
    <w:basedOn w:val="22"/>
    <w:link w:val="12"/>
    <w:autoRedefine/>
    <w:semiHidden/>
    <w:qFormat/>
    <w:uiPriority w:val="99"/>
    <w:rPr>
      <w:rFonts w:asciiTheme="minorHAnsi" w:hAnsiTheme="minorHAnsi" w:eastAsiaTheme="minorEastAsia" w:cstheme="minorBidi"/>
      <w:kern w:val="2"/>
      <w:sz w:val="21"/>
      <w:szCs w:val="22"/>
    </w:rPr>
  </w:style>
  <w:style w:type="character" w:customStyle="1" w:styleId="51">
    <w:name w:val="批注主题 字符"/>
    <w:basedOn w:val="50"/>
    <w:link w:val="19"/>
    <w:autoRedefine/>
    <w:semiHidden/>
    <w:qFormat/>
    <w:uiPriority w:val="99"/>
    <w:rPr>
      <w:rFonts w:asciiTheme="minorHAnsi" w:hAnsiTheme="minorHAnsi" w:eastAsiaTheme="minorEastAsia" w:cstheme="minorBidi"/>
      <w:b/>
      <w:bCs/>
      <w:kern w:val="2"/>
      <w:sz w:val="21"/>
      <w:szCs w:val="22"/>
    </w:rPr>
  </w:style>
  <w:style w:type="character" w:customStyle="1" w:styleId="52">
    <w:name w:val="批注框文本 字符"/>
    <w:basedOn w:val="22"/>
    <w:link w:val="14"/>
    <w:autoRedefine/>
    <w:semiHidden/>
    <w:qFormat/>
    <w:uiPriority w:val="99"/>
    <w:rPr>
      <w:rFonts w:asciiTheme="minorHAnsi" w:hAnsiTheme="minorHAnsi" w:eastAsiaTheme="minorEastAsia" w:cstheme="minorBidi"/>
      <w:kern w:val="2"/>
      <w:sz w:val="18"/>
      <w:szCs w:val="18"/>
    </w:rPr>
  </w:style>
  <w:style w:type="paragraph" w:customStyle="1" w:styleId="53">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4">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5">
    <w:name w:val="Comments"/>
    <w:basedOn w:val="1"/>
    <w:autoRedefine/>
    <w:qFormat/>
    <w:uiPriority w:val="0"/>
    <w:rPr>
      <w:i/>
      <w:sz w:val="18"/>
    </w:rPr>
  </w:style>
  <w:style w:type="paragraph" w:customStyle="1" w:styleId="56">
    <w:name w:val="B2"/>
    <w:basedOn w:val="1"/>
    <w:autoRedefine/>
    <w:qFormat/>
    <w:uiPriority w:val="0"/>
    <w:pPr>
      <w:ind w:left="851" w:hanging="284"/>
    </w:pPr>
  </w:style>
  <w:style w:type="paragraph" w:customStyle="1" w:styleId="57">
    <w:name w:val="B3"/>
    <w:basedOn w:val="1"/>
    <w:autoRedefine/>
    <w:qFormat/>
    <w:uiPriority w:val="0"/>
    <w:pPr>
      <w:ind w:left="1135" w:hanging="284"/>
    </w:pPr>
  </w:style>
  <w:style w:type="paragraph" w:customStyle="1" w:styleId="58">
    <w:name w:val="Agreement"/>
    <w:basedOn w:val="1"/>
    <w:next w:val="30"/>
    <w:autoRedefine/>
    <w:qFormat/>
    <w:uiPriority w:val="99"/>
    <w:pPr>
      <w:numPr>
        <w:ilvl w:val="0"/>
        <w:numId w:val="2"/>
      </w:numPr>
      <w:tabs>
        <w:tab w:val="left" w:pos="1619"/>
        <w:tab w:val="clear" w:pos="2039"/>
      </w:tabs>
      <w:spacing w:before="60"/>
    </w:pPr>
    <w:rPr>
      <w:b/>
    </w:rPr>
  </w:style>
  <w:style w:type="paragraph" w:customStyle="1" w:styleId="59">
    <w:name w:val="First Paragraph"/>
    <w:basedOn w:val="13"/>
    <w:next w:val="13"/>
    <w:qFormat/>
    <w:uiPriority w:val="0"/>
  </w:style>
  <w:style w:type="paragraph" w:customStyle="1" w:styleId="60">
    <w:name w:val="ds-markdown-paragraph"/>
    <w:basedOn w:val="1"/>
    <w:qFormat/>
    <w:uiPriority w:val="0"/>
    <w:pPr>
      <w:widowControl/>
      <w:spacing w:before="100" w:beforeAutospacing="1" w:after="100" w:afterAutospacing="1"/>
      <w:jc w:val="left"/>
    </w:pPr>
    <w:rPr>
      <w:rFonts w:ascii="Times New Roman" w:hAnsi="Times New Roman" w:eastAsia="Times New Roman" w:cs="Times New Roman"/>
      <w:kern w:val="0"/>
      <w:sz w:val="24"/>
      <w:szCs w:val="24"/>
      <w:lang w:val="en-G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2720</Words>
  <Characters>15418</Characters>
  <Lines>132</Lines>
  <Paragraphs>37</Paragraphs>
  <TotalTime>9</TotalTime>
  <ScaleCrop>false</ScaleCrop>
  <LinksUpToDate>false</LinksUpToDate>
  <CharactersWithSpaces>18126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2025-11-07T06:19:00Z</dcterms:created>
  <dc:creator>tcl</dc:creator>
  <cp:lastModifiedBy>张银成</cp:lastModifiedBy>
  <dcterms:modified xsi:type="dcterms:W3CDTF">2025-11-07T08:13:01Z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1D1E16262AD64D6AB4DC1B5C084A68D3_13</vt:lpwstr>
  </property>
  <property fmtid="{D5CDD505-2E9C-101B-9397-08002B2CF9AE}" pid="4" name="KSOTemplateDocerSaveRecord">
    <vt:lpwstr>eyJoZGlkIjoiYTZkZWNlYTA0MDg2ZTc3NmRlNDJmOGU5YjFkMTIzYmYiLCJ1c2VySWQiOiI1MDMzMTQ0MjYifQ==</vt:lpwstr>
  </property>
</Properties>
</file>